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F4CC5" w14:textId="115FCC99" w:rsidR="002C1FC8" w:rsidRPr="002C1FC8" w:rsidRDefault="002C1FC8" w:rsidP="002C1FC8">
      <w:pPr>
        <w:spacing w:line="360" w:lineRule="auto"/>
        <w:rPr>
          <w:rFonts w:ascii="宋体" w:eastAsia="宋体" w:hAnsi="宋体" w:hint="eastAsia"/>
          <w:sz w:val="24"/>
          <w:szCs w:val="24"/>
        </w:rPr>
      </w:pPr>
      <w:r w:rsidRPr="002C1FC8">
        <w:rPr>
          <w:rFonts w:ascii="宋体" w:eastAsia="宋体" w:hAnsi="宋体" w:hint="eastAsia"/>
          <w:sz w:val="24"/>
          <w:szCs w:val="24"/>
        </w:rPr>
        <w:t>最新指南！</w:t>
      </w:r>
      <w:r w:rsidRPr="002C1FC8">
        <w:rPr>
          <w:rFonts w:ascii="宋体" w:eastAsia="宋体" w:hAnsi="宋体"/>
          <w:sz w:val="24"/>
          <w:szCs w:val="24"/>
        </w:rPr>
        <w:t>WHO 2019新型冠状病毒指南（中文首译版）新鲜出炉！</w:t>
      </w:r>
    </w:p>
    <w:p w14:paraId="16410A6E"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原创</w:t>
      </w:r>
      <w:r w:rsidRPr="002C1FC8">
        <w:rPr>
          <w:rFonts w:ascii="宋体" w:eastAsia="宋体" w:hAnsi="宋体"/>
          <w:sz w:val="24"/>
          <w:szCs w:val="24"/>
        </w:rPr>
        <w:t xml:space="preserve"> 华山感染  华山感染  4天前</w:t>
      </w:r>
    </w:p>
    <w:p w14:paraId="5839EC8F" w14:textId="7A24BCDE"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drawing>
          <wp:inline distT="0" distB="0" distL="0" distR="0" wp14:anchorId="6E6E88D5" wp14:editId="662CAC15">
            <wp:extent cx="5274310" cy="15284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1528445"/>
                    </a:xfrm>
                    <a:prstGeom prst="rect">
                      <a:avLst/>
                    </a:prstGeom>
                  </pic:spPr>
                </pic:pic>
              </a:graphicData>
            </a:graphic>
          </wp:inline>
        </w:drawing>
      </w:r>
    </w:p>
    <w:p w14:paraId="2CFB6A3C" w14:textId="432584AE" w:rsidR="002C1FC8" w:rsidRPr="002C1FC8" w:rsidRDefault="002C1FC8" w:rsidP="002C1FC8">
      <w:pPr>
        <w:spacing w:line="360" w:lineRule="auto"/>
        <w:rPr>
          <w:rFonts w:ascii="宋体" w:eastAsia="宋体" w:hAnsi="宋体" w:hint="eastAsia"/>
          <w:sz w:val="24"/>
          <w:szCs w:val="24"/>
        </w:rPr>
      </w:pPr>
      <w:r w:rsidRPr="002C1FC8">
        <w:rPr>
          <w:rFonts w:ascii="宋体" w:eastAsia="宋体" w:hAnsi="宋体" w:hint="eastAsia"/>
          <w:sz w:val="24"/>
          <w:szCs w:val="24"/>
        </w:rPr>
        <w:t>引言</w:t>
      </w:r>
    </w:p>
    <w:p w14:paraId="44273C30"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2019年12月以来，湖北省武汉市发现多起病毒性肺炎病例，经相关病毒分型检测，2020年1月7日，实验室检出一种新型冠状病毒，1月10日完成了病原核酸检测，1月12日，世界卫生组织正式将造成武汉肺炎疫情的新型冠状病毒命名为“2019新型冠状病毒(2019-nCoV)”。同时，世界卫生组织于同日发布了针对</w:t>
      </w:r>
      <w:proofErr w:type="gramStart"/>
      <w:r w:rsidRPr="002C1FC8">
        <w:rPr>
          <w:rFonts w:ascii="宋体" w:eastAsia="宋体" w:hAnsi="宋体"/>
          <w:sz w:val="24"/>
          <w:szCs w:val="24"/>
        </w:rPr>
        <w:t>疑似新型</w:t>
      </w:r>
      <w:proofErr w:type="gramEnd"/>
      <w:r w:rsidRPr="002C1FC8">
        <w:rPr>
          <w:rFonts w:ascii="宋体" w:eastAsia="宋体" w:hAnsi="宋体"/>
          <w:sz w:val="24"/>
          <w:szCs w:val="24"/>
        </w:rPr>
        <w:t>冠状病毒感染造成严重急性呼吸道感染的临床处置指南。作为WHO发布的2019年版MERS冠状病毒感染造成严重急性呼吸道感染临床处置指南的姊妹篇，本指南是针对2019新型冠状病毒指南的第一版。</w:t>
      </w:r>
    </w:p>
    <w:p w14:paraId="3A7A71C2" w14:textId="002FC1AC" w:rsidR="002C1FC8" w:rsidRPr="002C1FC8" w:rsidRDefault="002C1FC8" w:rsidP="002C1FC8">
      <w:pPr>
        <w:spacing w:line="360" w:lineRule="auto"/>
        <w:rPr>
          <w:rFonts w:ascii="宋体" w:eastAsia="宋体" w:hAnsi="宋体" w:hint="eastAsia"/>
          <w:sz w:val="24"/>
          <w:szCs w:val="24"/>
        </w:rPr>
      </w:pPr>
      <w:r w:rsidRPr="002C1FC8">
        <w:rPr>
          <w:rFonts w:ascii="宋体" w:eastAsia="宋体" w:hAnsi="宋体" w:hint="eastAsia"/>
          <w:sz w:val="24"/>
          <w:szCs w:val="24"/>
        </w:rPr>
        <w:t>本指南意在临床医生处理</w:t>
      </w:r>
      <w:proofErr w:type="gramStart"/>
      <w:r w:rsidRPr="002C1FC8">
        <w:rPr>
          <w:rFonts w:ascii="宋体" w:eastAsia="宋体" w:hAnsi="宋体" w:hint="eastAsia"/>
          <w:sz w:val="24"/>
          <w:szCs w:val="24"/>
        </w:rPr>
        <w:t>疑似新型</w:t>
      </w:r>
      <w:proofErr w:type="gramEnd"/>
      <w:r w:rsidRPr="002C1FC8">
        <w:rPr>
          <w:rFonts w:ascii="宋体" w:eastAsia="宋体" w:hAnsi="宋体" w:hint="eastAsia"/>
          <w:sz w:val="24"/>
          <w:szCs w:val="24"/>
        </w:rPr>
        <w:t>冠状病毒感染造成严重急性呼吸道感染（</w:t>
      </w:r>
      <w:r w:rsidRPr="002C1FC8">
        <w:rPr>
          <w:rFonts w:ascii="宋体" w:eastAsia="宋体" w:hAnsi="宋体"/>
          <w:sz w:val="24"/>
          <w:szCs w:val="24"/>
        </w:rPr>
        <w:t>SARI）的成人或儿童患者时提供建议，本指南并非替代临床判断或专家意见，而是为强化临床处理提供最新的指导。提供的最佳医疗实践措施中包括感染预防与控制（IPC）及对重症病患的最佳的支持都是基本的应对策略。</w:t>
      </w:r>
    </w:p>
    <w:p w14:paraId="066AEEAE"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要点如下：</w:t>
      </w:r>
    </w:p>
    <w:p w14:paraId="4F533C76" w14:textId="77777777" w:rsidR="002C1FC8" w:rsidRPr="002C1FC8" w:rsidRDefault="002C1FC8" w:rsidP="002C1FC8">
      <w:pPr>
        <w:rPr>
          <w:rFonts w:ascii="宋体" w:eastAsia="宋体" w:hAnsi="宋体"/>
          <w:sz w:val="24"/>
          <w:szCs w:val="24"/>
        </w:rPr>
      </w:pPr>
      <w:r w:rsidRPr="002C1FC8">
        <w:rPr>
          <w:rFonts w:ascii="宋体" w:eastAsia="宋体" w:hAnsi="宋体"/>
          <w:sz w:val="24"/>
          <w:szCs w:val="24"/>
        </w:rPr>
        <w:t>1. 预检分诊：识别并分类严重急性呼吸道感染（SARI）患者</w:t>
      </w:r>
    </w:p>
    <w:p w14:paraId="47435DFF" w14:textId="77777777" w:rsidR="002C1FC8" w:rsidRPr="002C1FC8" w:rsidRDefault="002C1FC8" w:rsidP="002C1FC8">
      <w:pPr>
        <w:rPr>
          <w:rFonts w:ascii="宋体" w:eastAsia="宋体" w:hAnsi="宋体"/>
          <w:sz w:val="24"/>
          <w:szCs w:val="24"/>
        </w:rPr>
      </w:pPr>
      <w:r w:rsidRPr="002C1FC8">
        <w:rPr>
          <w:rFonts w:ascii="宋体" w:eastAsia="宋体" w:hAnsi="宋体"/>
          <w:sz w:val="24"/>
          <w:szCs w:val="24"/>
        </w:rPr>
        <w:t>2. 立即实施正确的感染预防与控制措施（IPC）</w:t>
      </w:r>
    </w:p>
    <w:p w14:paraId="7E79E563" w14:textId="77777777" w:rsidR="002C1FC8" w:rsidRPr="002C1FC8" w:rsidRDefault="002C1FC8" w:rsidP="002C1FC8">
      <w:pPr>
        <w:rPr>
          <w:rFonts w:ascii="宋体" w:eastAsia="宋体" w:hAnsi="宋体"/>
          <w:sz w:val="24"/>
          <w:szCs w:val="24"/>
        </w:rPr>
      </w:pPr>
      <w:r w:rsidRPr="002C1FC8">
        <w:rPr>
          <w:rFonts w:ascii="宋体" w:eastAsia="宋体" w:hAnsi="宋体"/>
          <w:sz w:val="24"/>
          <w:szCs w:val="24"/>
        </w:rPr>
        <w:t>3. 早期支持治疗与监控</w:t>
      </w:r>
    </w:p>
    <w:p w14:paraId="2561FA6E" w14:textId="77777777" w:rsidR="002C1FC8" w:rsidRPr="002C1FC8" w:rsidRDefault="002C1FC8" w:rsidP="002C1FC8">
      <w:pPr>
        <w:rPr>
          <w:rFonts w:ascii="宋体" w:eastAsia="宋体" w:hAnsi="宋体"/>
          <w:sz w:val="24"/>
          <w:szCs w:val="24"/>
        </w:rPr>
      </w:pPr>
      <w:r w:rsidRPr="002C1FC8">
        <w:rPr>
          <w:rFonts w:ascii="宋体" w:eastAsia="宋体" w:hAnsi="宋体"/>
          <w:sz w:val="24"/>
          <w:szCs w:val="24"/>
        </w:rPr>
        <w:t>4. 采集临床标本用于实验室诊断</w:t>
      </w:r>
    </w:p>
    <w:p w14:paraId="3AD1245B" w14:textId="77777777" w:rsidR="002C1FC8" w:rsidRPr="002C1FC8" w:rsidRDefault="002C1FC8" w:rsidP="002C1FC8">
      <w:pPr>
        <w:rPr>
          <w:rFonts w:ascii="宋体" w:eastAsia="宋体" w:hAnsi="宋体"/>
          <w:sz w:val="24"/>
          <w:szCs w:val="24"/>
        </w:rPr>
      </w:pPr>
      <w:r w:rsidRPr="002C1FC8">
        <w:rPr>
          <w:rFonts w:ascii="宋体" w:eastAsia="宋体" w:hAnsi="宋体"/>
          <w:sz w:val="24"/>
          <w:szCs w:val="24"/>
        </w:rPr>
        <w:t>5. 处理低氧性呼吸衰竭及急性呼吸窘迫综合征(ARDS)</w:t>
      </w:r>
    </w:p>
    <w:p w14:paraId="046C7B19" w14:textId="77777777" w:rsidR="002C1FC8" w:rsidRPr="002C1FC8" w:rsidRDefault="002C1FC8" w:rsidP="002C1FC8">
      <w:pPr>
        <w:rPr>
          <w:rFonts w:ascii="宋体" w:eastAsia="宋体" w:hAnsi="宋体"/>
          <w:sz w:val="24"/>
          <w:szCs w:val="24"/>
        </w:rPr>
      </w:pPr>
      <w:r w:rsidRPr="002C1FC8">
        <w:rPr>
          <w:rFonts w:ascii="宋体" w:eastAsia="宋体" w:hAnsi="宋体"/>
          <w:sz w:val="24"/>
          <w:szCs w:val="24"/>
        </w:rPr>
        <w:t xml:space="preserve">6. </w:t>
      </w:r>
      <w:proofErr w:type="gramStart"/>
      <w:r w:rsidRPr="002C1FC8">
        <w:rPr>
          <w:rFonts w:ascii="宋体" w:eastAsia="宋体" w:hAnsi="宋体"/>
          <w:sz w:val="24"/>
          <w:szCs w:val="24"/>
        </w:rPr>
        <w:t>脓</w:t>
      </w:r>
      <w:proofErr w:type="gramEnd"/>
      <w:r w:rsidRPr="002C1FC8">
        <w:rPr>
          <w:rFonts w:ascii="宋体" w:eastAsia="宋体" w:hAnsi="宋体"/>
          <w:sz w:val="24"/>
          <w:szCs w:val="24"/>
        </w:rPr>
        <w:t>毒性休克的管理</w:t>
      </w:r>
    </w:p>
    <w:p w14:paraId="50BB1EDC" w14:textId="77777777" w:rsidR="002C1FC8" w:rsidRPr="002C1FC8" w:rsidRDefault="002C1FC8" w:rsidP="002C1FC8">
      <w:pPr>
        <w:rPr>
          <w:rFonts w:ascii="宋体" w:eastAsia="宋体" w:hAnsi="宋体"/>
          <w:sz w:val="24"/>
          <w:szCs w:val="24"/>
        </w:rPr>
      </w:pPr>
      <w:r w:rsidRPr="002C1FC8">
        <w:rPr>
          <w:rFonts w:ascii="宋体" w:eastAsia="宋体" w:hAnsi="宋体"/>
          <w:sz w:val="24"/>
          <w:szCs w:val="24"/>
        </w:rPr>
        <w:t>7. 并发症的预防</w:t>
      </w:r>
    </w:p>
    <w:p w14:paraId="359BC147" w14:textId="77777777" w:rsidR="002C1FC8" w:rsidRPr="002C1FC8" w:rsidRDefault="002C1FC8" w:rsidP="002C1FC8">
      <w:pPr>
        <w:rPr>
          <w:rFonts w:ascii="宋体" w:eastAsia="宋体" w:hAnsi="宋体"/>
          <w:sz w:val="24"/>
          <w:szCs w:val="24"/>
        </w:rPr>
      </w:pPr>
      <w:r w:rsidRPr="002C1FC8">
        <w:rPr>
          <w:rFonts w:ascii="宋体" w:eastAsia="宋体" w:hAnsi="宋体"/>
          <w:sz w:val="24"/>
          <w:szCs w:val="24"/>
        </w:rPr>
        <w:t>8. 特异性的抗新型冠状病毒（</w:t>
      </w:r>
      <w:proofErr w:type="spellStart"/>
      <w:r w:rsidRPr="002C1FC8">
        <w:rPr>
          <w:rFonts w:ascii="宋体" w:eastAsia="宋体" w:hAnsi="宋体"/>
          <w:sz w:val="24"/>
          <w:szCs w:val="24"/>
        </w:rPr>
        <w:t>nCoV</w:t>
      </w:r>
      <w:proofErr w:type="spellEnd"/>
      <w:r w:rsidRPr="002C1FC8">
        <w:rPr>
          <w:rFonts w:ascii="宋体" w:eastAsia="宋体" w:hAnsi="宋体"/>
          <w:sz w:val="24"/>
          <w:szCs w:val="24"/>
        </w:rPr>
        <w:t>）治疗</w:t>
      </w:r>
    </w:p>
    <w:p w14:paraId="022E5419" w14:textId="5EBFD3DE" w:rsidR="002C1FC8" w:rsidRPr="002C1FC8" w:rsidRDefault="002C1FC8" w:rsidP="002C1FC8">
      <w:pPr>
        <w:rPr>
          <w:rFonts w:ascii="宋体" w:eastAsia="宋体" w:hAnsi="宋体" w:hint="eastAsia"/>
          <w:sz w:val="24"/>
          <w:szCs w:val="24"/>
        </w:rPr>
      </w:pPr>
      <w:r w:rsidRPr="002C1FC8">
        <w:rPr>
          <w:rFonts w:ascii="宋体" w:eastAsia="宋体" w:hAnsi="宋体"/>
          <w:sz w:val="24"/>
          <w:szCs w:val="24"/>
        </w:rPr>
        <w:t>9. 妊娠患者的特别注意事项</w:t>
      </w:r>
    </w:p>
    <w:p w14:paraId="465CF429"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说明：</w:t>
      </w:r>
    </w:p>
    <w:p w14:paraId="770FA1C2"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该干预措施是有益的（强烈建议）或目前最佳的实践方案</w:t>
      </w:r>
    </w:p>
    <w:p w14:paraId="2DBD90A8"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w:t>
      </w:r>
      <w:r w:rsidRPr="002C1FC8">
        <w:rPr>
          <w:rFonts w:ascii="宋体" w:eastAsia="宋体" w:hAnsi="宋体"/>
          <w:sz w:val="24"/>
          <w:szCs w:val="24"/>
        </w:rPr>
        <w:t xml:space="preserve"> 该干预措施被认为是有害的</w:t>
      </w:r>
    </w:p>
    <w:p w14:paraId="5C633633" w14:textId="1B1B957A"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该干预措施可能对某些患者有益（有条件的推荐），或者在考虑此干预措施时要小心</w:t>
      </w:r>
    </w:p>
    <w:p w14:paraId="126B0CA3" w14:textId="77777777" w:rsidR="002C1FC8" w:rsidRPr="002C1FC8" w:rsidRDefault="002C1FC8" w:rsidP="002C1FC8">
      <w:pPr>
        <w:spacing w:line="360" w:lineRule="auto"/>
        <w:rPr>
          <w:rFonts w:ascii="宋体" w:eastAsia="宋体" w:hAnsi="宋体" w:hint="eastAsia"/>
          <w:sz w:val="24"/>
          <w:szCs w:val="24"/>
        </w:rPr>
      </w:pPr>
    </w:p>
    <w:p w14:paraId="6ED326DF" w14:textId="48C8E9D8"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1</w:t>
      </w:r>
      <w:r>
        <w:rPr>
          <w:rFonts w:ascii="宋体" w:eastAsia="宋体" w:hAnsi="宋体" w:hint="eastAsia"/>
          <w:sz w:val="24"/>
          <w:szCs w:val="24"/>
        </w:rPr>
        <w:t xml:space="preserve"> </w:t>
      </w:r>
      <w:r w:rsidRPr="002C1FC8">
        <w:rPr>
          <w:rFonts w:ascii="宋体" w:eastAsia="宋体" w:hAnsi="宋体" w:hint="eastAsia"/>
          <w:sz w:val="24"/>
          <w:szCs w:val="24"/>
        </w:rPr>
        <w:t>分诊：识别和分流严重急性呼吸道感染（</w:t>
      </w:r>
      <w:r w:rsidRPr="002C1FC8">
        <w:rPr>
          <w:rFonts w:ascii="宋体" w:eastAsia="宋体" w:hAnsi="宋体"/>
          <w:sz w:val="24"/>
          <w:szCs w:val="24"/>
        </w:rPr>
        <w:t>SARI）患者</w:t>
      </w:r>
    </w:p>
    <w:p w14:paraId="3587323F"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分诊：在所有SARI的患者首次至医疗单位就诊（比如急诊科）时，临床医生就应对其进行识别和分类。在表1所描述的情形下，应考虑</w:t>
      </w:r>
      <w:proofErr w:type="spellStart"/>
      <w:r w:rsidRPr="002C1FC8">
        <w:rPr>
          <w:rFonts w:ascii="宋体" w:eastAsia="宋体" w:hAnsi="宋体"/>
          <w:sz w:val="24"/>
          <w:szCs w:val="24"/>
        </w:rPr>
        <w:t>nCoV</w:t>
      </w:r>
      <w:proofErr w:type="spellEnd"/>
      <w:r w:rsidRPr="002C1FC8">
        <w:rPr>
          <w:rFonts w:ascii="宋体" w:eastAsia="宋体" w:hAnsi="宋体"/>
          <w:sz w:val="24"/>
          <w:szCs w:val="24"/>
        </w:rPr>
        <w:t>是可能的病原体。分类患者并根据疾病的严重程度启动紧急治疗。</w:t>
      </w:r>
    </w:p>
    <w:p w14:paraId="1E9F70D5"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注意：</w:t>
      </w:r>
      <w:proofErr w:type="spellStart"/>
      <w:r w:rsidRPr="002C1FC8">
        <w:rPr>
          <w:rFonts w:ascii="宋体" w:eastAsia="宋体" w:hAnsi="宋体"/>
          <w:sz w:val="24"/>
          <w:szCs w:val="24"/>
        </w:rPr>
        <w:t>nCoV</w:t>
      </w:r>
      <w:proofErr w:type="spellEnd"/>
      <w:r w:rsidRPr="002C1FC8">
        <w:rPr>
          <w:rFonts w:ascii="宋体" w:eastAsia="宋体" w:hAnsi="宋体"/>
          <w:sz w:val="24"/>
          <w:szCs w:val="24"/>
        </w:rPr>
        <w:t>病情可以表现为轻、中、重度，后者包括重症肺炎、ARDS、脓毒症和</w:t>
      </w:r>
      <w:proofErr w:type="gramStart"/>
      <w:r w:rsidRPr="002C1FC8">
        <w:rPr>
          <w:rFonts w:ascii="宋体" w:eastAsia="宋体" w:hAnsi="宋体"/>
          <w:sz w:val="24"/>
          <w:szCs w:val="24"/>
        </w:rPr>
        <w:t>脓毒性</w:t>
      </w:r>
      <w:proofErr w:type="gramEnd"/>
      <w:r w:rsidRPr="002C1FC8">
        <w:rPr>
          <w:rFonts w:ascii="宋体" w:eastAsia="宋体" w:hAnsi="宋体"/>
          <w:sz w:val="24"/>
          <w:szCs w:val="24"/>
        </w:rPr>
        <w:t>休克。早期识别疑似患者为及时启动IPC提供了时间（见表2）。早期识别有严重临床表现的患者（表2），可以对患者采取及时有效的支持治疗，并可以根据标准流程快速、安全地转入ICU。对于轻症患者，可能不需要住院治疗，除非临床考虑有快速加重的可能。所有回家观察的患者都应该要求其一旦出现任何疾病的恶化表现应立即回到医院。</w:t>
      </w:r>
    </w:p>
    <w:p w14:paraId="65B85BF7"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表</w:t>
      </w:r>
      <w:r w:rsidRPr="002C1FC8">
        <w:rPr>
          <w:rFonts w:ascii="宋体" w:eastAsia="宋体" w:hAnsi="宋体"/>
          <w:sz w:val="24"/>
          <w:szCs w:val="24"/>
        </w:rPr>
        <w:t>1：SARI患者（疑似</w:t>
      </w:r>
      <w:proofErr w:type="spellStart"/>
      <w:r w:rsidRPr="002C1FC8">
        <w:rPr>
          <w:rFonts w:ascii="宋体" w:eastAsia="宋体" w:hAnsi="宋体"/>
          <w:sz w:val="24"/>
          <w:szCs w:val="24"/>
        </w:rPr>
        <w:t>nCoV</w:t>
      </w:r>
      <w:proofErr w:type="spellEnd"/>
      <w:r w:rsidRPr="002C1FC8">
        <w:rPr>
          <w:rFonts w:ascii="宋体" w:eastAsia="宋体" w:hAnsi="宋体"/>
          <w:sz w:val="24"/>
          <w:szCs w:val="24"/>
        </w:rPr>
        <w:t>）的定义</w:t>
      </w:r>
    </w:p>
    <w:p w14:paraId="6CAD0299" w14:textId="03BBF769"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drawing>
          <wp:inline distT="0" distB="0" distL="0" distR="0" wp14:anchorId="5D0F3B07" wp14:editId="2554C1B3">
            <wp:extent cx="5710969" cy="5118970"/>
            <wp:effectExtent l="0" t="0" r="444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659" cy="5137516"/>
                    </a:xfrm>
                    <a:prstGeom prst="rect">
                      <a:avLst/>
                    </a:prstGeom>
                  </pic:spPr>
                </pic:pic>
              </a:graphicData>
            </a:graphic>
          </wp:inline>
        </w:drawing>
      </w:r>
    </w:p>
    <w:p w14:paraId="248A9C7D" w14:textId="77777777" w:rsidR="002C1FC8" w:rsidRDefault="002C1FC8" w:rsidP="002C1FC8">
      <w:pPr>
        <w:spacing w:line="360" w:lineRule="auto"/>
        <w:rPr>
          <w:rFonts w:ascii="宋体" w:eastAsia="宋体" w:hAnsi="宋体"/>
          <w:sz w:val="24"/>
          <w:szCs w:val="24"/>
        </w:rPr>
      </w:pPr>
    </w:p>
    <w:p w14:paraId="444988B0" w14:textId="02702D68"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lastRenderedPageBreak/>
        <w:t>表</w:t>
      </w:r>
      <w:r w:rsidRPr="002C1FC8">
        <w:rPr>
          <w:rFonts w:ascii="宋体" w:eastAsia="宋体" w:hAnsi="宋体"/>
          <w:sz w:val="24"/>
          <w:szCs w:val="24"/>
        </w:rPr>
        <w:t xml:space="preserve">2： </w:t>
      </w:r>
      <w:proofErr w:type="spellStart"/>
      <w:r w:rsidRPr="002C1FC8">
        <w:rPr>
          <w:rFonts w:ascii="宋体" w:eastAsia="宋体" w:hAnsi="宋体"/>
          <w:sz w:val="24"/>
          <w:szCs w:val="24"/>
        </w:rPr>
        <w:t>nCoV</w:t>
      </w:r>
      <w:proofErr w:type="spellEnd"/>
      <w:r w:rsidRPr="002C1FC8">
        <w:rPr>
          <w:rFonts w:ascii="宋体" w:eastAsia="宋体" w:hAnsi="宋体"/>
          <w:sz w:val="24"/>
          <w:szCs w:val="24"/>
        </w:rPr>
        <w:t>感染相关的临床综合征</w:t>
      </w:r>
    </w:p>
    <w:p w14:paraId="540DB15C" w14:textId="22AD1F85"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drawing>
          <wp:inline distT="0" distB="0" distL="0" distR="0" wp14:anchorId="669F090E" wp14:editId="2D42BC67">
            <wp:extent cx="5874707" cy="4868241"/>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91633" cy="4882267"/>
                    </a:xfrm>
                    <a:prstGeom prst="rect">
                      <a:avLst/>
                    </a:prstGeom>
                  </pic:spPr>
                </pic:pic>
              </a:graphicData>
            </a:graphic>
          </wp:inline>
        </w:drawing>
      </w:r>
    </w:p>
    <w:p w14:paraId="2C5A0611" w14:textId="77777777" w:rsidR="002C1FC8" w:rsidRPr="002C1FC8" w:rsidRDefault="002C1FC8" w:rsidP="002C1FC8">
      <w:pPr>
        <w:spacing w:line="360" w:lineRule="auto"/>
        <w:rPr>
          <w:rFonts w:ascii="宋体" w:eastAsia="宋体" w:hAnsi="宋体"/>
          <w:sz w:val="24"/>
          <w:szCs w:val="24"/>
        </w:rPr>
      </w:pPr>
    </w:p>
    <w:p w14:paraId="79DB06A9" w14:textId="380066B0"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2</w:t>
      </w:r>
      <w:r>
        <w:rPr>
          <w:rFonts w:ascii="宋体" w:eastAsia="宋体" w:hAnsi="宋体" w:hint="eastAsia"/>
          <w:sz w:val="24"/>
          <w:szCs w:val="24"/>
        </w:rPr>
        <w:t xml:space="preserve"> </w:t>
      </w:r>
      <w:r w:rsidRPr="002C1FC8">
        <w:rPr>
          <w:rFonts w:ascii="宋体" w:eastAsia="宋体" w:hAnsi="宋体" w:hint="eastAsia"/>
          <w:sz w:val="24"/>
          <w:szCs w:val="24"/>
        </w:rPr>
        <w:t>立即实施正确的感染预防与控制措施（</w:t>
      </w:r>
      <w:r w:rsidRPr="002C1FC8">
        <w:rPr>
          <w:rFonts w:ascii="宋体" w:eastAsia="宋体" w:hAnsi="宋体"/>
          <w:sz w:val="24"/>
          <w:szCs w:val="24"/>
        </w:rPr>
        <w:t>IPC）</w:t>
      </w:r>
    </w:p>
    <w:p w14:paraId="629B6FE9"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IPC非常重要，应该在患者进入医院（尤其是急诊科）的时间点就启动。标准预防应该始终常规被应用在医疗机构的所有区域。标准预防包括：手卫生；使用个人防护设备（PPE）的应用以避免直接接触患者血液、体液、分泌物以及不完整的皮肤等）；还包括预防针刺伤或者切割伤、医疗废物处理、设备的清洁和消毒以及环境的清洁。</w:t>
      </w:r>
    </w:p>
    <w:p w14:paraId="00213ADB"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表</w:t>
      </w:r>
      <w:r w:rsidRPr="002C1FC8">
        <w:rPr>
          <w:rFonts w:ascii="宋体" w:eastAsia="宋体" w:hAnsi="宋体"/>
          <w:sz w:val="24"/>
          <w:szCs w:val="24"/>
        </w:rPr>
        <w:t>3： 立即实施正确的感染预防与控制措施（IPC）</w:t>
      </w:r>
    </w:p>
    <w:p w14:paraId="15DB84AE" w14:textId="77777777" w:rsidR="002C1FC8" w:rsidRPr="002C1FC8" w:rsidRDefault="002C1FC8" w:rsidP="002C1FC8">
      <w:pPr>
        <w:spacing w:line="360" w:lineRule="auto"/>
        <w:rPr>
          <w:rFonts w:ascii="宋体" w:eastAsia="宋体" w:hAnsi="宋体"/>
          <w:sz w:val="24"/>
          <w:szCs w:val="24"/>
        </w:rPr>
      </w:pPr>
    </w:p>
    <w:p w14:paraId="217DC5A1" w14:textId="521B428D"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lastRenderedPageBreak/>
        <w:drawing>
          <wp:inline distT="0" distB="0" distL="0" distR="0" wp14:anchorId="7AD5010C" wp14:editId="41DD3F95">
            <wp:extent cx="5274310" cy="55784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578475"/>
                    </a:xfrm>
                    <a:prstGeom prst="rect">
                      <a:avLst/>
                    </a:prstGeom>
                  </pic:spPr>
                </pic:pic>
              </a:graphicData>
            </a:graphic>
          </wp:inline>
        </w:drawing>
      </w:r>
    </w:p>
    <w:p w14:paraId="71137F18" w14:textId="77777777" w:rsidR="002C1FC8" w:rsidRPr="002C1FC8" w:rsidRDefault="002C1FC8" w:rsidP="002C1FC8">
      <w:pPr>
        <w:spacing w:line="360" w:lineRule="auto"/>
        <w:rPr>
          <w:rFonts w:ascii="宋体" w:eastAsia="宋体" w:hAnsi="宋体"/>
          <w:sz w:val="24"/>
          <w:szCs w:val="24"/>
        </w:rPr>
      </w:pPr>
    </w:p>
    <w:p w14:paraId="514FA725" w14:textId="0E88EA1F"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3</w:t>
      </w:r>
      <w:r>
        <w:rPr>
          <w:rFonts w:ascii="宋体" w:eastAsia="宋体" w:hAnsi="宋体" w:hint="eastAsia"/>
          <w:sz w:val="24"/>
          <w:szCs w:val="24"/>
        </w:rPr>
        <w:t xml:space="preserve"> </w:t>
      </w:r>
      <w:r w:rsidRPr="002C1FC8">
        <w:rPr>
          <w:rFonts w:ascii="宋体" w:eastAsia="宋体" w:hAnsi="宋体" w:hint="eastAsia"/>
          <w:sz w:val="24"/>
          <w:szCs w:val="24"/>
        </w:rPr>
        <w:t>早期支持治疗与监控</w:t>
      </w:r>
    </w:p>
    <w:p w14:paraId="77CC099C"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立即对SARI和呼吸窘迫，低氧血症或休克的患者进行补氧治疗。</w:t>
      </w:r>
    </w:p>
    <w:p w14:paraId="69999756"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备注：以</w:t>
      </w:r>
      <w:r w:rsidRPr="002C1FC8">
        <w:rPr>
          <w:rFonts w:ascii="宋体" w:eastAsia="宋体" w:hAnsi="宋体"/>
          <w:sz w:val="24"/>
          <w:szCs w:val="24"/>
        </w:rPr>
        <w:t>5 L / min的速度开始氧疗并滴定流速，以达到非怀孕成年患者SpO2≥90％和怀孕患者SpO2≥92-95％的目标氧饱和度。严重的呼吸窘迫，中心性发绀，休克，昏迷或抽搐）应在复苏过程中接受氧疗使得SpO2≥94％，其他人群达SpO2≥90％。同时，对SARI患者进行照护的所有诊疗区域均应配备脉搏血氧仪，可运行的供氧系统以及一次性使用的氧气输送接口（鼻插管，简易面罩</w:t>
      </w:r>
      <w:proofErr w:type="gramStart"/>
      <w:r w:rsidRPr="002C1FC8">
        <w:rPr>
          <w:rFonts w:ascii="宋体" w:eastAsia="宋体" w:hAnsi="宋体"/>
          <w:sz w:val="24"/>
          <w:szCs w:val="24"/>
        </w:rPr>
        <w:t>和带储物</w:t>
      </w:r>
      <w:proofErr w:type="gramEnd"/>
      <w:r w:rsidRPr="002C1FC8">
        <w:rPr>
          <w:rFonts w:ascii="宋体" w:eastAsia="宋体" w:hAnsi="宋体"/>
          <w:sz w:val="24"/>
          <w:szCs w:val="24"/>
        </w:rPr>
        <w:t>袋的口罩）。处理</w:t>
      </w:r>
      <w:proofErr w:type="spellStart"/>
      <w:r w:rsidRPr="002C1FC8">
        <w:rPr>
          <w:rFonts w:ascii="宋体" w:eastAsia="宋体" w:hAnsi="宋体"/>
          <w:sz w:val="24"/>
          <w:szCs w:val="24"/>
        </w:rPr>
        <w:t>nCoV</w:t>
      </w:r>
      <w:proofErr w:type="spellEnd"/>
      <w:r w:rsidRPr="002C1FC8">
        <w:rPr>
          <w:rFonts w:ascii="宋体" w:eastAsia="宋体" w:hAnsi="宋体"/>
          <w:sz w:val="24"/>
          <w:szCs w:val="24"/>
        </w:rPr>
        <w:t>感染患者的受污染的氧气接口时，应做好接触预防措施。</w:t>
      </w:r>
    </w:p>
    <w:p w14:paraId="444FAD36"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若SARI患者无休克证据，则使用保守的输液治疗。</w:t>
      </w:r>
    </w:p>
    <w:p w14:paraId="3FB4CAD5"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lastRenderedPageBreak/>
        <w:t>备注：</w:t>
      </w:r>
      <w:r w:rsidRPr="002C1FC8">
        <w:rPr>
          <w:rFonts w:ascii="宋体" w:eastAsia="宋体" w:hAnsi="宋体"/>
          <w:sz w:val="24"/>
          <w:szCs w:val="24"/>
        </w:rPr>
        <w:t>SARI患者应谨慎使用静脉输液，因为激进的补液治疗，尤其是在机械通气有限的情况下可能会使氧合恶化。</w:t>
      </w:r>
    </w:p>
    <w:p w14:paraId="15D61B88"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对SARI患者，给予经验性抗微生物药物以治疗所有可能的病原体。对于脓毒症患者，应在初次患者评估后一小时内给予抗微生物药物。</w:t>
      </w:r>
    </w:p>
    <w:p w14:paraId="51EAF531"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备注：尽管患者可能疑似有</w:t>
      </w:r>
      <w:proofErr w:type="spellStart"/>
      <w:r w:rsidRPr="002C1FC8">
        <w:rPr>
          <w:rFonts w:ascii="宋体" w:eastAsia="宋体" w:hAnsi="宋体"/>
          <w:sz w:val="24"/>
          <w:szCs w:val="24"/>
        </w:rPr>
        <w:t>nCoV</w:t>
      </w:r>
      <w:proofErr w:type="spellEnd"/>
      <w:r w:rsidRPr="002C1FC8">
        <w:rPr>
          <w:rFonts w:ascii="宋体" w:eastAsia="宋体" w:hAnsi="宋体"/>
          <w:sz w:val="24"/>
          <w:szCs w:val="24"/>
        </w:rPr>
        <w:t>感染，但应在诊断为脓毒症一小时内给予适当的经验性抗微生物药物。经验性抗生素治疗应基于临床诊断（包括当地流行病学，药</w:t>
      </w:r>
      <w:proofErr w:type="gramStart"/>
      <w:r w:rsidRPr="002C1FC8">
        <w:rPr>
          <w:rFonts w:ascii="宋体" w:eastAsia="宋体" w:hAnsi="宋体"/>
          <w:sz w:val="24"/>
          <w:szCs w:val="24"/>
        </w:rPr>
        <w:t>敏数据</w:t>
      </w:r>
      <w:proofErr w:type="gramEnd"/>
      <w:r w:rsidRPr="002C1FC8">
        <w:rPr>
          <w:rFonts w:ascii="宋体" w:eastAsia="宋体" w:hAnsi="宋体"/>
          <w:sz w:val="24"/>
          <w:szCs w:val="24"/>
        </w:rPr>
        <w:t>以及治疗指南等）。若有地方性流行病学史或其他感染相关的危险因素（包括出行史或接触动物流感病毒）时，经验疗法应包括一种神经氨酸酶抑制剂以治疗流感。经验疗法应根据微生物学结果和临床判断进行降阶梯。</w:t>
      </w:r>
    </w:p>
    <w:p w14:paraId="3DCD28E6"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w:t>
      </w:r>
      <w:r w:rsidRPr="002C1FC8">
        <w:rPr>
          <w:rFonts w:ascii="宋体" w:eastAsia="宋体" w:hAnsi="宋体"/>
          <w:sz w:val="24"/>
          <w:szCs w:val="24"/>
        </w:rPr>
        <w:t xml:space="preserve">  除非特殊原因，否则请勿在临床试验之外常规给予全身性皮质类固醇激素治疗病毒性肺炎或ARDS。</w:t>
      </w:r>
    </w:p>
    <w:p w14:paraId="02A6E011"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备注：对</w:t>
      </w:r>
      <w:r w:rsidRPr="002C1FC8">
        <w:rPr>
          <w:rFonts w:ascii="宋体" w:eastAsia="宋体" w:hAnsi="宋体"/>
          <w:sz w:val="24"/>
          <w:szCs w:val="24"/>
        </w:rPr>
        <w:t>SARS患者进行的皮质类固醇激素的观察性研究的系统评价未发现生存益处和可能的危害（无血管坏死，精神症状，糖尿病和病毒清除延迟等）。对流感的观察性研究的系统评价显示应用皮质类固醇激素患者死亡率和继发感染的风险更高，但由于适应症的混杂，</w:t>
      </w:r>
      <w:proofErr w:type="gramStart"/>
      <w:r w:rsidRPr="002C1FC8">
        <w:rPr>
          <w:rFonts w:ascii="宋体" w:eastAsia="宋体" w:hAnsi="宋体"/>
          <w:sz w:val="24"/>
          <w:szCs w:val="24"/>
        </w:rPr>
        <w:t>该循证</w:t>
      </w:r>
      <w:proofErr w:type="gramEnd"/>
      <w:r w:rsidRPr="002C1FC8">
        <w:rPr>
          <w:rFonts w:ascii="宋体" w:eastAsia="宋体" w:hAnsi="宋体"/>
          <w:sz w:val="24"/>
          <w:szCs w:val="24"/>
        </w:rPr>
        <w:t>医学证据被判定为较低。随后的研究通过调整随时间变化的混杂因素解决了这一局限性，结果显示皮质类固醇激素的应用对流感患者死亡率无影响。最近一项针对接受糖皮质激素治疗的MERS患者的研究发现皮质类固醇对死亡率没有影响，但延迟了下呼吸道（LRT）的MERS-</w:t>
      </w:r>
      <w:proofErr w:type="spellStart"/>
      <w:r w:rsidRPr="002C1FC8">
        <w:rPr>
          <w:rFonts w:ascii="宋体" w:eastAsia="宋体" w:hAnsi="宋体"/>
          <w:sz w:val="24"/>
          <w:szCs w:val="24"/>
        </w:rPr>
        <w:t>CoV</w:t>
      </w:r>
      <w:proofErr w:type="spellEnd"/>
      <w:r w:rsidRPr="002C1FC8">
        <w:rPr>
          <w:rFonts w:ascii="宋体" w:eastAsia="宋体" w:hAnsi="宋体"/>
          <w:sz w:val="24"/>
          <w:szCs w:val="24"/>
        </w:rPr>
        <w:t>病毒清除。</w:t>
      </w:r>
      <w:r w:rsidRPr="002C1FC8">
        <w:rPr>
          <w:rFonts w:ascii="宋体" w:eastAsia="宋体" w:hAnsi="宋体" w:hint="eastAsia"/>
          <w:sz w:val="24"/>
          <w:szCs w:val="24"/>
        </w:rPr>
        <w:t>由于缺乏有效性和可能的危害，除非特殊原因，否则应避免常规皮质类固醇使用。关于脓毒症患者如何使用皮质类固醇，具体可见第</w:t>
      </w:r>
      <w:r w:rsidRPr="002C1FC8">
        <w:rPr>
          <w:rFonts w:ascii="宋体" w:eastAsia="宋体" w:hAnsi="宋体"/>
          <w:sz w:val="24"/>
          <w:szCs w:val="24"/>
        </w:rPr>
        <w:t>6节。</w:t>
      </w:r>
    </w:p>
    <w:p w14:paraId="56EE9DDA"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密切监测SARI患者是否出现症状恶化的迹象，例如快速进展性呼吸衰竭和脓毒症，并立即采取支持干预措施。</w:t>
      </w:r>
    </w:p>
    <w:p w14:paraId="1B2A9E73"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备注：对于出现严重</w:t>
      </w:r>
      <w:proofErr w:type="spellStart"/>
      <w:r w:rsidRPr="002C1FC8">
        <w:rPr>
          <w:rFonts w:ascii="宋体" w:eastAsia="宋体" w:hAnsi="宋体"/>
          <w:sz w:val="24"/>
          <w:szCs w:val="24"/>
        </w:rPr>
        <w:t>nCoV</w:t>
      </w:r>
      <w:proofErr w:type="spellEnd"/>
      <w:r w:rsidRPr="002C1FC8">
        <w:rPr>
          <w:rFonts w:ascii="宋体" w:eastAsia="宋体" w:hAnsi="宋体"/>
          <w:sz w:val="24"/>
          <w:szCs w:val="24"/>
        </w:rPr>
        <w:t>表现的患者，及时、有效和安全的支持疗法是治疗的基石。</w:t>
      </w:r>
    </w:p>
    <w:p w14:paraId="4D0D5B9F"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在了解患者的合并疾病后，针对性制定治疗方法并评估预后。和患者及其家人有效沟通。</w:t>
      </w:r>
    </w:p>
    <w:p w14:paraId="1480C54C"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备注：在</w:t>
      </w:r>
      <w:r w:rsidRPr="002C1FC8">
        <w:rPr>
          <w:rFonts w:ascii="宋体" w:eastAsia="宋体" w:hAnsi="宋体"/>
          <w:sz w:val="24"/>
          <w:szCs w:val="24"/>
        </w:rPr>
        <w:t>SARI的重症监护诊治期间，应确定应继续使用何种慢性疗法以及应暂时停用何种疗法。与患者和家人进行积极沟通，并提供患者的治疗和预后信息。了解患者对维持生命的干预措施的看法和倾向性。</w:t>
      </w:r>
    </w:p>
    <w:p w14:paraId="2B1DA29E" w14:textId="77777777" w:rsidR="002C1FC8" w:rsidRPr="002C1FC8" w:rsidRDefault="002C1FC8" w:rsidP="002C1FC8">
      <w:pPr>
        <w:spacing w:line="360" w:lineRule="auto"/>
        <w:rPr>
          <w:rFonts w:ascii="宋体" w:eastAsia="宋体" w:hAnsi="宋体"/>
          <w:sz w:val="24"/>
          <w:szCs w:val="24"/>
        </w:rPr>
      </w:pPr>
    </w:p>
    <w:p w14:paraId="798B9220" w14:textId="27C11C74"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4</w:t>
      </w:r>
      <w:r>
        <w:rPr>
          <w:rFonts w:ascii="宋体" w:eastAsia="宋体" w:hAnsi="宋体" w:hint="eastAsia"/>
          <w:sz w:val="24"/>
          <w:szCs w:val="24"/>
        </w:rPr>
        <w:t xml:space="preserve"> </w:t>
      </w:r>
      <w:r w:rsidRPr="002C1FC8">
        <w:rPr>
          <w:rFonts w:ascii="宋体" w:eastAsia="宋体" w:hAnsi="宋体"/>
          <w:sz w:val="24"/>
          <w:szCs w:val="24"/>
        </w:rPr>
        <w:t>采集临床标本用于实验室诊断</w:t>
      </w:r>
    </w:p>
    <w:p w14:paraId="7A71D53A"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lastRenderedPageBreak/>
        <w:t>✔</w:t>
      </w:r>
      <w:r w:rsidRPr="002C1FC8">
        <w:rPr>
          <w:rFonts w:ascii="宋体" w:eastAsia="宋体" w:hAnsi="宋体"/>
          <w:sz w:val="24"/>
          <w:szCs w:val="24"/>
        </w:rPr>
        <w:t xml:space="preserve">  最好在抗微生物治疗之前收集血培养标本以判断引起细菌性肺炎和脓毒症的病原体。勿为收集血培养标本而延迟抗微生物治疗。</w:t>
      </w:r>
    </w:p>
    <w:p w14:paraId="7C0DF8CB"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同时收集上呼吸道（upper respiratory tract，URT，包括鼻咽和口咽）和下呼吸道（lower respiratory tract，LRT，包括痰、气管内吸出物或支气管肺泡灌洗液）的标本，通过RT-PCR进行</w:t>
      </w:r>
      <w:proofErr w:type="spellStart"/>
      <w:r w:rsidRPr="002C1FC8">
        <w:rPr>
          <w:rFonts w:ascii="宋体" w:eastAsia="宋体" w:hAnsi="宋体"/>
          <w:sz w:val="24"/>
          <w:szCs w:val="24"/>
        </w:rPr>
        <w:t>nCoV</w:t>
      </w:r>
      <w:proofErr w:type="spellEnd"/>
      <w:r w:rsidRPr="002C1FC8">
        <w:rPr>
          <w:rFonts w:ascii="宋体" w:eastAsia="宋体" w:hAnsi="宋体"/>
          <w:sz w:val="24"/>
          <w:szCs w:val="24"/>
        </w:rPr>
        <w:t>检测。在下呼吸道样本易于获得的情况下（例如机械通气的患者，临床医生可以</w:t>
      </w:r>
      <w:proofErr w:type="gramStart"/>
      <w:r w:rsidRPr="002C1FC8">
        <w:rPr>
          <w:rFonts w:ascii="宋体" w:eastAsia="宋体" w:hAnsi="宋体"/>
          <w:sz w:val="24"/>
          <w:szCs w:val="24"/>
        </w:rPr>
        <w:t>选择仅</w:t>
      </w:r>
      <w:proofErr w:type="gramEnd"/>
      <w:r w:rsidRPr="002C1FC8">
        <w:rPr>
          <w:rFonts w:ascii="宋体" w:eastAsia="宋体" w:hAnsi="宋体"/>
          <w:sz w:val="24"/>
          <w:szCs w:val="24"/>
        </w:rPr>
        <w:t>收集下呼吸道样本）。</w:t>
      </w:r>
    </w:p>
    <w:p w14:paraId="3F0E8526"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仅在无法使用RT-PCR时才建议使用血清学进行诊断。</w:t>
      </w:r>
    </w:p>
    <w:p w14:paraId="2B16D0F5"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备注：使用适当的</w:t>
      </w:r>
      <w:r w:rsidRPr="002C1FC8">
        <w:rPr>
          <w:rFonts w:ascii="宋体" w:eastAsia="宋体" w:hAnsi="宋体"/>
          <w:sz w:val="24"/>
          <w:szCs w:val="24"/>
        </w:rPr>
        <w:t>PPE进行标本收集（注意URT标本的液滴和接触预防措施，以及LRT标本的空气预防措施）。收集URT样品时，使用病毒采样棉签（无菌涤纶或人造丝，而不是棉花）和病毒运输介质。不要从鼻孔或扁桃体上采样。对于怀疑患有</w:t>
      </w:r>
      <w:proofErr w:type="spellStart"/>
      <w:r w:rsidRPr="002C1FC8">
        <w:rPr>
          <w:rFonts w:ascii="宋体" w:eastAsia="宋体" w:hAnsi="宋体"/>
          <w:sz w:val="24"/>
          <w:szCs w:val="24"/>
        </w:rPr>
        <w:t>nCoV</w:t>
      </w:r>
      <w:proofErr w:type="spellEnd"/>
      <w:r w:rsidRPr="002C1FC8">
        <w:rPr>
          <w:rFonts w:ascii="宋体" w:eastAsia="宋体" w:hAnsi="宋体"/>
          <w:sz w:val="24"/>
          <w:szCs w:val="24"/>
        </w:rPr>
        <w:t>的患者，特别是患有肺炎或严重疾病的患者，单个URT样本不能排除诊断，建议增加URT和LRT样本。LRT（相对于URT）样本更可能呈阳性，且如4.1所述，在下呼吸道样本易于获得的情况下（例如机械通气的患者），临床医生可以</w:t>
      </w:r>
      <w:proofErr w:type="gramStart"/>
      <w:r w:rsidRPr="002C1FC8">
        <w:rPr>
          <w:rFonts w:ascii="宋体" w:eastAsia="宋体" w:hAnsi="宋体"/>
          <w:sz w:val="24"/>
          <w:szCs w:val="24"/>
        </w:rPr>
        <w:t>选择仅</w:t>
      </w:r>
      <w:proofErr w:type="gramEnd"/>
      <w:r w:rsidRPr="002C1FC8">
        <w:rPr>
          <w:rFonts w:ascii="宋体" w:eastAsia="宋体" w:hAnsi="宋体"/>
          <w:sz w:val="24"/>
          <w:szCs w:val="24"/>
        </w:rPr>
        <w:t>收集下呼吸道样本)。</w:t>
      </w:r>
    </w:p>
    <w:p w14:paraId="255B0BCA"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备注：目前在</w:t>
      </w:r>
      <w:r w:rsidRPr="002C1FC8">
        <w:rPr>
          <w:rFonts w:ascii="宋体" w:eastAsia="宋体" w:hAnsi="宋体"/>
          <w:sz w:val="24"/>
          <w:szCs w:val="24"/>
        </w:rPr>
        <w:t>SARS和MERS病例中发现了与其他呼吸道病毒感染的双重感染。因此我们需要对所有可疑病例进行详细的微生物学研究。URT和LRT标本均可测试其他呼吸道病毒，例如甲型和乙型流感（包括人畜共患的甲型流感），呼吸道合胞病毒，副流感病毒，鼻病毒，腺病毒，肠病毒（例如EVD68），人间质肺病毒和地方性人类冠状病毒（例如HKU1，OC43，NL63和229E）。LRT标本还可以检测细菌等病原体，包括军团菌等。</w:t>
      </w:r>
    </w:p>
    <w:p w14:paraId="30E0147B"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在确诊</w:t>
      </w:r>
      <w:proofErr w:type="spellStart"/>
      <w:r w:rsidRPr="002C1FC8">
        <w:rPr>
          <w:rFonts w:ascii="宋体" w:eastAsia="宋体" w:hAnsi="宋体"/>
          <w:sz w:val="24"/>
          <w:szCs w:val="24"/>
        </w:rPr>
        <w:t>nCoV</w:t>
      </w:r>
      <w:proofErr w:type="spellEnd"/>
      <w:r w:rsidRPr="002C1FC8">
        <w:rPr>
          <w:rFonts w:ascii="宋体" w:eastAsia="宋体" w:hAnsi="宋体"/>
          <w:sz w:val="24"/>
          <w:szCs w:val="24"/>
        </w:rPr>
        <w:t>感染的住院患者中，应重复收集的URT和LRT样本以证实病毒清除。标本的采集频率取决于当地情况，但应至少每2-4天收集一次。直到患者出现两个连续的至少间隔24小时的阴性结果（若同时收集URT和LRT样本，需均为阴性），可以看作是临床康复。</w:t>
      </w:r>
      <w:proofErr w:type="gramStart"/>
      <w:r w:rsidRPr="002C1FC8">
        <w:rPr>
          <w:rFonts w:ascii="宋体" w:eastAsia="宋体" w:hAnsi="宋体"/>
          <w:sz w:val="24"/>
          <w:szCs w:val="24"/>
        </w:rPr>
        <w:t>若当地</w:t>
      </w:r>
      <w:proofErr w:type="gramEnd"/>
      <w:r w:rsidRPr="002C1FC8">
        <w:rPr>
          <w:rFonts w:ascii="宋体" w:eastAsia="宋体" w:hAnsi="宋体"/>
          <w:sz w:val="24"/>
          <w:szCs w:val="24"/>
        </w:rPr>
        <w:t>的感染控制措施要求在去除飞沫预防措施之前获得两个阴性结果，则可以每天多次收集标本。</w:t>
      </w:r>
    </w:p>
    <w:p w14:paraId="1F7E9332" w14:textId="77777777" w:rsidR="002C1FC8" w:rsidRPr="002C1FC8" w:rsidRDefault="002C1FC8" w:rsidP="002C1FC8">
      <w:pPr>
        <w:spacing w:line="360" w:lineRule="auto"/>
        <w:rPr>
          <w:rFonts w:ascii="宋体" w:eastAsia="宋体" w:hAnsi="宋体"/>
          <w:sz w:val="24"/>
          <w:szCs w:val="24"/>
        </w:rPr>
      </w:pPr>
    </w:p>
    <w:p w14:paraId="4A64A05A" w14:textId="19EDEB64"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5</w:t>
      </w:r>
      <w:r>
        <w:rPr>
          <w:rFonts w:ascii="宋体" w:eastAsia="宋体" w:hAnsi="宋体" w:hint="eastAsia"/>
          <w:sz w:val="24"/>
          <w:szCs w:val="24"/>
        </w:rPr>
        <w:t xml:space="preserve"> </w:t>
      </w:r>
      <w:r w:rsidRPr="002C1FC8">
        <w:rPr>
          <w:rFonts w:ascii="宋体" w:eastAsia="宋体" w:hAnsi="宋体" w:hint="eastAsia"/>
          <w:sz w:val="24"/>
          <w:szCs w:val="24"/>
        </w:rPr>
        <w:t>处理低氧性呼吸衰竭及急性呼吸窘迫综合征</w:t>
      </w:r>
      <w:r w:rsidRPr="002C1FC8">
        <w:rPr>
          <w:rFonts w:ascii="宋体" w:eastAsia="宋体" w:hAnsi="宋体"/>
          <w:sz w:val="24"/>
          <w:szCs w:val="24"/>
        </w:rPr>
        <w:t>(ARDS)</w:t>
      </w:r>
    </w:p>
    <w:p w14:paraId="11688C44"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当患者出现呼吸窘迫、标准氧气治疗无无效时，应识别出严重的低氧性呼吸衰竭。</w:t>
      </w:r>
    </w:p>
    <w:p w14:paraId="72D9D1EF"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w:t>
      </w:r>
    </w:p>
    <w:p w14:paraId="2957B7BC"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即使通过面罩和</w:t>
      </w:r>
      <w:proofErr w:type="gramStart"/>
      <w:r w:rsidRPr="002C1FC8">
        <w:rPr>
          <w:rFonts w:ascii="宋体" w:eastAsia="宋体" w:hAnsi="宋体" w:hint="eastAsia"/>
          <w:sz w:val="24"/>
          <w:szCs w:val="24"/>
        </w:rPr>
        <w:t>储氧</w:t>
      </w:r>
      <w:proofErr w:type="gramEnd"/>
      <w:r w:rsidRPr="002C1FC8">
        <w:rPr>
          <w:rFonts w:ascii="宋体" w:eastAsia="宋体" w:hAnsi="宋体" w:hint="eastAsia"/>
          <w:sz w:val="24"/>
          <w:szCs w:val="24"/>
        </w:rPr>
        <w:t>氧气袋吸氧（流速为</w:t>
      </w:r>
      <w:r w:rsidRPr="002C1FC8">
        <w:rPr>
          <w:rFonts w:ascii="宋体" w:eastAsia="宋体" w:hAnsi="宋体"/>
          <w:sz w:val="24"/>
          <w:szCs w:val="24"/>
        </w:rPr>
        <w:t>10-15 L / min，通常是维持袋膨胀所需的最小流量; FiO2 0.60-0.95），患者仍出现持续呼吸次数增加和低氧血压。ARDS中的低氧血症性呼吸衰竭</w:t>
      </w:r>
      <w:r w:rsidRPr="002C1FC8">
        <w:rPr>
          <w:rFonts w:ascii="宋体" w:eastAsia="宋体" w:hAnsi="宋体"/>
          <w:sz w:val="24"/>
          <w:szCs w:val="24"/>
        </w:rPr>
        <w:lastRenderedPageBreak/>
        <w:t>通常是由于肺内通气-灌注不匹配或分流所致，通常需要机械通气。</w:t>
      </w:r>
    </w:p>
    <w:p w14:paraId="25306F28"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！高流量</w:t>
      </w:r>
      <w:proofErr w:type="gramStart"/>
      <w:r w:rsidRPr="002C1FC8">
        <w:rPr>
          <w:rFonts w:ascii="宋体" w:eastAsia="宋体" w:hAnsi="宋体" w:hint="eastAsia"/>
          <w:sz w:val="24"/>
          <w:szCs w:val="24"/>
        </w:rPr>
        <w:t>鼻</w:t>
      </w:r>
      <w:proofErr w:type="gramEnd"/>
      <w:r w:rsidRPr="002C1FC8">
        <w:rPr>
          <w:rFonts w:ascii="宋体" w:eastAsia="宋体" w:hAnsi="宋体" w:hint="eastAsia"/>
          <w:sz w:val="24"/>
          <w:szCs w:val="24"/>
        </w:rPr>
        <w:t>导管氧吸氧（</w:t>
      </w:r>
      <w:r w:rsidRPr="002C1FC8">
        <w:rPr>
          <w:rFonts w:ascii="宋体" w:eastAsia="宋体" w:hAnsi="宋体"/>
          <w:sz w:val="24"/>
          <w:szCs w:val="24"/>
        </w:rPr>
        <w:t>HFNO）或无创通气（NIV）</w:t>
      </w:r>
      <w:proofErr w:type="gramStart"/>
      <w:r w:rsidRPr="002C1FC8">
        <w:rPr>
          <w:rFonts w:ascii="宋体" w:eastAsia="宋体" w:hAnsi="宋体"/>
          <w:sz w:val="24"/>
          <w:szCs w:val="24"/>
        </w:rPr>
        <w:t>仅应用</w:t>
      </w:r>
      <w:proofErr w:type="gramEnd"/>
      <w:r w:rsidRPr="002C1FC8">
        <w:rPr>
          <w:rFonts w:ascii="宋体" w:eastAsia="宋体" w:hAnsi="宋体"/>
          <w:sz w:val="24"/>
          <w:szCs w:val="24"/>
        </w:rPr>
        <w:t>于特定的低氧血症性呼吸衰竭。MERS患者使用NIV的治疗失败率高，接受HFNO和NIV治疗的患者应该密切监测是否出临床恶化的情况。</w:t>
      </w:r>
    </w:p>
    <w:p w14:paraId="4E250C6D"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w:t>
      </w:r>
      <w:r w:rsidRPr="002C1FC8">
        <w:rPr>
          <w:rFonts w:ascii="宋体" w:eastAsia="宋体" w:hAnsi="宋体"/>
          <w:sz w:val="24"/>
          <w:szCs w:val="24"/>
        </w:rPr>
        <w:t>1：HFNO系统可以提供60 L/min的气流和高达1.0的FiO2；儿科设备通常最多只能设置15L/min，许多儿童需要成人的设备才能提供足够的流量。与标准氧气疗法相比，HFNO减少了插管的需要。高碳酸血症（阻塞性肺疾病加重，心源性肺水肿的加重）、血流动力学不稳定、多器官功能衰竭或精神状态异常通常</w:t>
      </w:r>
      <w:proofErr w:type="gramStart"/>
      <w:r w:rsidRPr="002C1FC8">
        <w:rPr>
          <w:rFonts w:ascii="宋体" w:eastAsia="宋体" w:hAnsi="宋体"/>
          <w:sz w:val="24"/>
          <w:szCs w:val="24"/>
        </w:rPr>
        <w:t>不</w:t>
      </w:r>
      <w:proofErr w:type="gramEnd"/>
      <w:r w:rsidRPr="002C1FC8">
        <w:rPr>
          <w:rFonts w:ascii="宋体" w:eastAsia="宋体" w:hAnsi="宋体"/>
          <w:sz w:val="24"/>
          <w:szCs w:val="24"/>
        </w:rPr>
        <w:t>应接受HFNO，尽管最新数据表明，HFNO对于轻度中度和无恶化高碳酸血症的患者可能是安全的。接受HFNO的患者应进行密切监视，并由有经验的能够气管插管的人员进行护理，以防患者在短时间（约1小时）后出现急剧恶</w:t>
      </w:r>
      <w:r w:rsidRPr="002C1FC8">
        <w:rPr>
          <w:rFonts w:ascii="宋体" w:eastAsia="宋体" w:hAnsi="宋体" w:hint="eastAsia"/>
          <w:sz w:val="24"/>
          <w:szCs w:val="24"/>
        </w:rPr>
        <w:t>化或没有改善。关于</w:t>
      </w:r>
      <w:r w:rsidRPr="002C1FC8">
        <w:rPr>
          <w:rFonts w:ascii="宋体" w:eastAsia="宋体" w:hAnsi="宋体"/>
          <w:sz w:val="24"/>
          <w:szCs w:val="24"/>
        </w:rPr>
        <w:t>HFNO的循证指南尚不存在，有关HFNO在MERS患者中的研究有限。</w:t>
      </w:r>
    </w:p>
    <w:p w14:paraId="7E5A8297"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w:t>
      </w:r>
      <w:r w:rsidRPr="002C1FC8">
        <w:rPr>
          <w:rFonts w:ascii="宋体" w:eastAsia="宋体" w:hAnsi="宋体"/>
          <w:sz w:val="24"/>
          <w:szCs w:val="24"/>
        </w:rPr>
        <w:t>2：NIV指南不推荐用于低氧血症性呼吸衰竭（除心源性肺水肿和术后呼吸衰竭）或病毒性疾病大流行（指对SARS和大流行性流感的研究）。NIV相关的风险包括插管延迟，潮气量大和</w:t>
      </w:r>
      <w:proofErr w:type="gramStart"/>
      <w:r w:rsidRPr="002C1FC8">
        <w:rPr>
          <w:rFonts w:ascii="宋体" w:eastAsia="宋体" w:hAnsi="宋体"/>
          <w:sz w:val="24"/>
          <w:szCs w:val="24"/>
        </w:rPr>
        <w:t>伤害性经肺</w:t>
      </w:r>
      <w:proofErr w:type="gramEnd"/>
      <w:r w:rsidRPr="002C1FC8">
        <w:rPr>
          <w:rFonts w:ascii="宋体" w:eastAsia="宋体" w:hAnsi="宋体"/>
          <w:sz w:val="24"/>
          <w:szCs w:val="24"/>
        </w:rPr>
        <w:t>压。有限的数据表明MERS患者接受NIV治疗失败率高。接受NIV的患者应密切监测，并由经验丰富的人员，如果患者在短时间（约1小时）后严重恶化或无法改善，可以进行气管插管。血液动力学不稳定，多器官功能衰竭或精神状态异常的患者</w:t>
      </w:r>
      <w:proofErr w:type="gramStart"/>
      <w:r w:rsidRPr="002C1FC8">
        <w:rPr>
          <w:rFonts w:ascii="宋体" w:eastAsia="宋体" w:hAnsi="宋体"/>
          <w:sz w:val="24"/>
          <w:szCs w:val="24"/>
        </w:rPr>
        <w:t>不</w:t>
      </w:r>
      <w:proofErr w:type="gramEnd"/>
      <w:r w:rsidRPr="002C1FC8">
        <w:rPr>
          <w:rFonts w:ascii="宋体" w:eastAsia="宋体" w:hAnsi="宋体"/>
          <w:sz w:val="24"/>
          <w:szCs w:val="24"/>
        </w:rPr>
        <w:t>应接受NIV。</w:t>
      </w:r>
    </w:p>
    <w:p w14:paraId="7150E89E"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w:t>
      </w:r>
      <w:r w:rsidRPr="002C1FC8">
        <w:rPr>
          <w:rFonts w:ascii="宋体" w:eastAsia="宋体" w:hAnsi="宋体"/>
          <w:sz w:val="24"/>
          <w:szCs w:val="24"/>
        </w:rPr>
        <w:t>3：最近发表的文献表明，具有良好接口适配性的较新的HFNO和NIV系统不会产生广泛的影响呼出空气的扩散，因此应该具有较低的空中传播风险。</w:t>
      </w:r>
    </w:p>
    <w:p w14:paraId="47F8E8B7"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 xml:space="preserve"> </w:t>
      </w:r>
    </w:p>
    <w:p w14:paraId="33047CF0"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气管内插管应由经过培训的，经验丰富的人员进行，并预防空气传播。</w:t>
      </w:r>
    </w:p>
    <w:p w14:paraId="4E39CF77"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w:t>
      </w:r>
      <w:r w:rsidRPr="002C1FC8">
        <w:rPr>
          <w:rFonts w:ascii="宋体" w:eastAsia="宋体" w:hAnsi="宋体"/>
          <w:sz w:val="24"/>
          <w:szCs w:val="24"/>
        </w:rPr>
        <w:t>ARDS患者，特别是幼儿、肥胖或怀孕的患者，可能会在插管过程中氧饱和度迅速下降。通过</w:t>
      </w:r>
      <w:proofErr w:type="gramStart"/>
      <w:r w:rsidRPr="002C1FC8">
        <w:rPr>
          <w:rFonts w:ascii="宋体" w:eastAsia="宋体" w:hAnsi="宋体"/>
          <w:sz w:val="24"/>
          <w:szCs w:val="24"/>
        </w:rPr>
        <w:t>带储氧</w:t>
      </w:r>
      <w:proofErr w:type="gramEnd"/>
      <w:r w:rsidRPr="002C1FC8">
        <w:rPr>
          <w:rFonts w:ascii="宋体" w:eastAsia="宋体" w:hAnsi="宋体"/>
          <w:sz w:val="24"/>
          <w:szCs w:val="24"/>
        </w:rPr>
        <w:t>袋的面罩，</w:t>
      </w:r>
      <w:proofErr w:type="gramStart"/>
      <w:r w:rsidRPr="002C1FC8">
        <w:rPr>
          <w:rFonts w:ascii="宋体" w:eastAsia="宋体" w:hAnsi="宋体"/>
          <w:sz w:val="24"/>
          <w:szCs w:val="24"/>
        </w:rPr>
        <w:t>袋阀面罩</w:t>
      </w:r>
      <w:proofErr w:type="gramEnd"/>
      <w:r w:rsidRPr="002C1FC8">
        <w:rPr>
          <w:rFonts w:ascii="宋体" w:eastAsia="宋体" w:hAnsi="宋体"/>
          <w:sz w:val="24"/>
          <w:szCs w:val="24"/>
        </w:rPr>
        <w:t>，HFNO或NIV，用100％FiO2预充氧5分钟。经气道评估后如果没有插管困难的迹象，可以快速插管是合适的。</w:t>
      </w:r>
    </w:p>
    <w:p w14:paraId="1AD8DEA0"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 xml:space="preserve"> </w:t>
      </w:r>
    </w:p>
    <w:p w14:paraId="3DCC5009" w14:textId="68415DD7" w:rsidR="002C1FC8" w:rsidRPr="002C1FC8" w:rsidRDefault="002C1FC8" w:rsidP="002C1FC8">
      <w:pPr>
        <w:spacing w:line="360" w:lineRule="auto"/>
        <w:rPr>
          <w:rFonts w:ascii="宋体" w:eastAsia="宋体" w:hAnsi="宋体" w:hint="eastAsia"/>
          <w:sz w:val="24"/>
          <w:szCs w:val="24"/>
        </w:rPr>
      </w:pPr>
      <w:r w:rsidRPr="002C1FC8">
        <w:rPr>
          <w:rFonts w:ascii="宋体" w:eastAsia="宋体" w:hAnsi="宋体" w:hint="eastAsia"/>
          <w:sz w:val="24"/>
          <w:szCs w:val="24"/>
        </w:rPr>
        <w:t>本节中的以下建议适用于</w:t>
      </w:r>
      <w:r w:rsidRPr="002C1FC8">
        <w:rPr>
          <w:rFonts w:ascii="宋体" w:eastAsia="宋体" w:hAnsi="宋体"/>
          <w:sz w:val="24"/>
          <w:szCs w:val="24"/>
        </w:rPr>
        <w:t>ARDS机械通气患者。有针对成年人，针对儿童的共识和推荐。</w:t>
      </w:r>
    </w:p>
    <w:p w14:paraId="62274C9F"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使用较低的潮气量（预计体重4–8 ml / kg预测体重，PBW）和较低的吸气量进行机械通气压力（平台压力&lt;30 cmH2O）。</w:t>
      </w:r>
    </w:p>
    <w:p w14:paraId="360671F9" w14:textId="2F9D7336" w:rsidR="002C1FC8" w:rsidRPr="002C1FC8" w:rsidRDefault="002C1FC8" w:rsidP="002C1FC8">
      <w:pPr>
        <w:spacing w:line="360" w:lineRule="auto"/>
        <w:rPr>
          <w:rFonts w:ascii="宋体" w:eastAsia="宋体" w:hAnsi="宋体" w:hint="eastAsia"/>
          <w:sz w:val="24"/>
          <w:szCs w:val="24"/>
        </w:rPr>
      </w:pPr>
      <w:r w:rsidRPr="002C1FC8">
        <w:rPr>
          <w:rFonts w:ascii="宋体" w:eastAsia="宋体" w:hAnsi="宋体" w:hint="eastAsia"/>
          <w:sz w:val="24"/>
          <w:szCs w:val="24"/>
        </w:rPr>
        <w:t>备注：这是</w:t>
      </w:r>
      <w:r w:rsidRPr="002C1FC8">
        <w:rPr>
          <w:rFonts w:ascii="宋体" w:eastAsia="宋体" w:hAnsi="宋体"/>
          <w:sz w:val="24"/>
          <w:szCs w:val="24"/>
        </w:rPr>
        <w:t>ARDS患者临床指南中的强烈建议，也建议用于不符合ARDS标准的又败血症引起的呼吸衰竭。最初的潮气量为6 ml / kg PBW。如果发生不良反应（例如，不同步，pH &lt;7.15），</w:t>
      </w:r>
      <w:r w:rsidRPr="002C1FC8">
        <w:rPr>
          <w:rFonts w:ascii="宋体" w:eastAsia="宋体" w:hAnsi="宋体"/>
          <w:sz w:val="24"/>
          <w:szCs w:val="24"/>
        </w:rPr>
        <w:lastRenderedPageBreak/>
        <w:t>则允许使用潮气量高达8 ml / kg PBW。如果满足pH目标为7.30-7.45，可以允许高碳酸血症。可以使用呼吸机规程。可能需要使用深度镇静剂来控制呼吸驱动并达到潮气量目标。尽管较高的驱动压力（平台压-PEEP），相比高潮气量或高平台压，与ARDS的死亡率更相关。目前尚无针对驱动压力的通气策略的RCT研究。</w:t>
      </w:r>
    </w:p>
    <w:p w14:paraId="304F34E6"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对于重度ARDS的患者，建议每天进行&gt;12小时的通气。</w:t>
      </w:r>
    </w:p>
    <w:p w14:paraId="69AD346B"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备注：强烈建议对患有严重</w:t>
      </w:r>
      <w:r w:rsidRPr="002C1FC8">
        <w:rPr>
          <w:rFonts w:ascii="宋体" w:eastAsia="宋体" w:hAnsi="宋体"/>
          <w:sz w:val="24"/>
          <w:szCs w:val="24"/>
        </w:rPr>
        <w:t>ARDS的成人和儿童患者使用俯卧通气，但需要足够的人力资源和专业知识才能安全地执行工作。</w:t>
      </w:r>
    </w:p>
    <w:p w14:paraId="34C0D70C" w14:textId="77777777" w:rsidR="002C1FC8" w:rsidRPr="002C1FC8" w:rsidRDefault="002C1FC8" w:rsidP="002C1FC8">
      <w:pPr>
        <w:spacing w:line="360" w:lineRule="auto"/>
        <w:rPr>
          <w:rFonts w:ascii="宋体" w:eastAsia="宋体" w:hAnsi="宋体"/>
          <w:sz w:val="24"/>
          <w:szCs w:val="24"/>
        </w:rPr>
      </w:pPr>
    </w:p>
    <w:p w14:paraId="6506A998"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对没有组织灌注不足的ARDS患者使用保守的液体管理策略。</w:t>
      </w:r>
    </w:p>
    <w:p w14:paraId="4BA51BF0"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备注：这是一个强有力的指导建议；主要作用是缩短通气时间。</w:t>
      </w:r>
    </w:p>
    <w:p w14:paraId="182D995C"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 xml:space="preserve"> </w:t>
      </w:r>
    </w:p>
    <w:p w14:paraId="286129BA"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！在中度或重度</w:t>
      </w:r>
      <w:r w:rsidRPr="002C1FC8">
        <w:rPr>
          <w:rFonts w:ascii="宋体" w:eastAsia="宋体" w:hAnsi="宋体"/>
          <w:sz w:val="24"/>
          <w:szCs w:val="24"/>
        </w:rPr>
        <w:t>ARDS患者中，建议使用较高的PEEP而不是较低的PEEP。</w:t>
      </w:r>
    </w:p>
    <w:p w14:paraId="328A8D1A"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w:t>
      </w:r>
      <w:r w:rsidRPr="002C1FC8">
        <w:rPr>
          <w:rFonts w:ascii="宋体" w:eastAsia="宋体" w:hAnsi="宋体"/>
          <w:sz w:val="24"/>
          <w:szCs w:val="24"/>
        </w:rPr>
        <w:t>PEEP设定需要考虑收益（减少肺不张和改善肺泡补充）与风险之间的关系（吸气末过度扩张导致肺损伤和更高的肺血管阻力）。表格可供指导根据维持SpO2所需的FiO2进行PEEP调整，持续高气道正压[30–40 cm H2O]可以作为肺复张的相关措施给予，逐渐增加具有恒定驱动压力或高驱动压力的PEEP；收益与风险的</w:t>
      </w:r>
      <w:proofErr w:type="gramStart"/>
      <w:r w:rsidRPr="002C1FC8">
        <w:rPr>
          <w:rFonts w:ascii="宋体" w:eastAsia="宋体" w:hAnsi="宋体"/>
          <w:sz w:val="24"/>
          <w:szCs w:val="24"/>
        </w:rPr>
        <w:t>考量</w:t>
      </w:r>
      <w:proofErr w:type="gramEnd"/>
      <w:r w:rsidRPr="002C1FC8">
        <w:rPr>
          <w:rFonts w:ascii="宋体" w:eastAsia="宋体" w:hAnsi="宋体"/>
          <w:sz w:val="24"/>
          <w:szCs w:val="24"/>
        </w:rPr>
        <w:t>相似。较高的PEEP和在临床实践指南中有条件地推荐。对于PEEP，该指南考虑了3项RCT的患者数据荟萃分析。然而，随后关于高PEEP和延长的高压力肺复张的RCT研究发现RMs的RCT提示了存在危</w:t>
      </w:r>
      <w:r w:rsidRPr="002C1FC8">
        <w:rPr>
          <w:rFonts w:ascii="宋体" w:eastAsia="宋体" w:hAnsi="宋体" w:hint="eastAsia"/>
          <w:sz w:val="24"/>
          <w:szCs w:val="24"/>
        </w:rPr>
        <w:t>害，建议避免使用该</w:t>
      </w:r>
      <w:r w:rsidRPr="002C1FC8">
        <w:rPr>
          <w:rFonts w:ascii="宋体" w:eastAsia="宋体" w:hAnsi="宋体"/>
          <w:sz w:val="24"/>
          <w:szCs w:val="24"/>
        </w:rPr>
        <w:t>RCT中的方案。推荐进行监控，以识别对初始高PEEP或者其他肺复</w:t>
      </w:r>
      <w:proofErr w:type="gramStart"/>
      <w:r w:rsidRPr="002C1FC8">
        <w:rPr>
          <w:rFonts w:ascii="宋体" w:eastAsia="宋体" w:hAnsi="宋体"/>
          <w:sz w:val="24"/>
          <w:szCs w:val="24"/>
        </w:rPr>
        <w:t>张方案</w:t>
      </w:r>
      <w:proofErr w:type="gramEnd"/>
      <w:r w:rsidRPr="002C1FC8">
        <w:rPr>
          <w:rFonts w:ascii="宋体" w:eastAsia="宋体" w:hAnsi="宋体"/>
          <w:sz w:val="24"/>
          <w:szCs w:val="24"/>
        </w:rPr>
        <w:t>有反应的患者，并在无反应的患者中停止这些干预措施。</w:t>
      </w:r>
    </w:p>
    <w:p w14:paraId="0853F1B2"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 xml:space="preserve"> </w:t>
      </w:r>
    </w:p>
    <w:p w14:paraId="176BE593" w14:textId="4659A49A"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对于中度重度</w:t>
      </w:r>
      <w:r w:rsidRPr="002C1FC8">
        <w:rPr>
          <w:rFonts w:ascii="宋体" w:eastAsia="宋体" w:hAnsi="宋体"/>
          <w:sz w:val="24"/>
          <w:szCs w:val="24"/>
        </w:rPr>
        <w:t>ARDS（PaO2 / FiO2 &lt;150）的患者，持续输注神经肌肉阻滞药物不应常规使用。</w:t>
      </w:r>
    </w:p>
    <w:p w14:paraId="2152FCD0"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备注：一项试验发现，该策略可改善重度</w:t>
      </w:r>
      <w:r w:rsidRPr="002C1FC8">
        <w:rPr>
          <w:rFonts w:ascii="宋体" w:eastAsia="宋体" w:hAnsi="宋体"/>
          <w:sz w:val="24"/>
          <w:szCs w:val="24"/>
        </w:rPr>
        <w:t>ARDS（PaO2 / FiO2 &lt;150）患者的生存率，而不会引起明显虚弱，但是最近一项较大的试验结果发现，将神经肌肉阻滞与高PEEP策略结合使用与没有神经肌肉阻滞的轻度镇静策略相比，它与改善生存率无关。在某些情况下，仍可考虑对ARDS患者连续使用神经肌肉阻滞：使用镇静药物后仍</w:t>
      </w:r>
      <w:proofErr w:type="gramStart"/>
      <w:r w:rsidRPr="002C1FC8">
        <w:rPr>
          <w:rFonts w:ascii="宋体" w:eastAsia="宋体" w:hAnsi="宋体"/>
          <w:sz w:val="24"/>
          <w:szCs w:val="24"/>
        </w:rPr>
        <w:t>有人机</w:t>
      </w:r>
      <w:proofErr w:type="gramEnd"/>
      <w:r w:rsidRPr="002C1FC8">
        <w:rPr>
          <w:rFonts w:ascii="宋体" w:eastAsia="宋体" w:hAnsi="宋体"/>
          <w:sz w:val="24"/>
          <w:szCs w:val="24"/>
        </w:rPr>
        <w:t>抵抗者，使潮气量限制无法达标；或难治性低氧血症或高碳酸血症。</w:t>
      </w:r>
    </w:p>
    <w:p w14:paraId="07B98B30"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 xml:space="preserve"> </w:t>
      </w:r>
    </w:p>
    <w:p w14:paraId="741D58D2" w14:textId="780C7472"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在可以获得体外生命支持（</w:t>
      </w:r>
      <w:r w:rsidRPr="002C1FC8">
        <w:rPr>
          <w:rFonts w:ascii="宋体" w:eastAsia="宋体" w:hAnsi="宋体"/>
          <w:sz w:val="24"/>
          <w:szCs w:val="24"/>
        </w:rPr>
        <w:t>ECLS）专业知识的情况中，对肺部保护性通气后仍有反复低氧血症</w:t>
      </w:r>
      <w:r w:rsidRPr="002C1FC8">
        <w:rPr>
          <w:rFonts w:ascii="宋体" w:eastAsia="宋体" w:hAnsi="宋体"/>
          <w:sz w:val="24"/>
          <w:szCs w:val="24"/>
        </w:rPr>
        <w:lastRenderedPageBreak/>
        <w:t>的患者可以进行转诊。</w:t>
      </w:r>
    </w:p>
    <w:p w14:paraId="24E56CD2"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备注：最近的指南未对</w:t>
      </w:r>
      <w:r w:rsidRPr="002C1FC8">
        <w:rPr>
          <w:rFonts w:ascii="宋体" w:eastAsia="宋体" w:hAnsi="宋体"/>
          <w:sz w:val="24"/>
          <w:szCs w:val="24"/>
        </w:rPr>
        <w:t>ARDS患者的ECLS提出任何建议。一项关于ARDS患者应用ECLS的RCT研究提前终止，因为研究发现ECLS和标准的医疗处置（包括俯卧位和使用神经肌肉阻滞）相比60天死亡率的主要结局无统计学差异。然而，ECLS可以降低死亡的组合结局的风险，事后该RCT研究的综合贝叶斯综合风险相关分析表明：在一系列先前的假设下，ECLS很有可能降低死亡率。在一项队列研究中，MERS-</w:t>
      </w:r>
      <w:proofErr w:type="spellStart"/>
      <w:r w:rsidRPr="002C1FC8">
        <w:rPr>
          <w:rFonts w:ascii="宋体" w:eastAsia="宋体" w:hAnsi="宋体"/>
          <w:sz w:val="24"/>
          <w:szCs w:val="24"/>
        </w:rPr>
        <w:t>CoV</w:t>
      </w:r>
      <w:proofErr w:type="spellEnd"/>
      <w:r w:rsidRPr="002C1FC8">
        <w:rPr>
          <w:rFonts w:ascii="宋体" w:eastAsia="宋体" w:hAnsi="宋体"/>
          <w:sz w:val="24"/>
          <w:szCs w:val="24"/>
        </w:rPr>
        <w:t>感染，ECLS与常规治疗相比可降低死亡率。怀疑</w:t>
      </w:r>
      <w:proofErr w:type="gramStart"/>
      <w:r w:rsidRPr="002C1FC8">
        <w:rPr>
          <w:rFonts w:ascii="宋体" w:eastAsia="宋体" w:hAnsi="宋体"/>
          <w:sz w:val="24"/>
          <w:szCs w:val="24"/>
        </w:rPr>
        <w:t>患有新型</w:t>
      </w:r>
      <w:proofErr w:type="gramEnd"/>
      <w:r w:rsidRPr="002C1FC8">
        <w:rPr>
          <w:rFonts w:ascii="宋体" w:eastAsia="宋体" w:hAnsi="宋体"/>
          <w:sz w:val="24"/>
          <w:szCs w:val="24"/>
        </w:rPr>
        <w:t>冠状病毒（</w:t>
      </w:r>
      <w:proofErr w:type="spellStart"/>
      <w:r w:rsidRPr="002C1FC8">
        <w:rPr>
          <w:rFonts w:ascii="宋体" w:eastAsia="宋体" w:hAnsi="宋体"/>
          <w:sz w:val="24"/>
          <w:szCs w:val="24"/>
        </w:rPr>
        <w:t>nCoV</w:t>
      </w:r>
      <w:proofErr w:type="spellEnd"/>
      <w:r w:rsidRPr="002C1FC8">
        <w:rPr>
          <w:rFonts w:ascii="宋体" w:eastAsia="宋体" w:hAnsi="宋体"/>
          <w:sz w:val="24"/>
          <w:szCs w:val="24"/>
        </w:rPr>
        <w:t>）感染时，仅在具有收治足够案例的专业中心保证</w:t>
      </w:r>
      <w:r w:rsidRPr="002C1FC8">
        <w:rPr>
          <w:rFonts w:ascii="宋体" w:eastAsia="宋体" w:hAnsi="宋体" w:hint="eastAsia"/>
          <w:sz w:val="24"/>
          <w:szCs w:val="24"/>
        </w:rPr>
        <w:t>其专业知识的情况下，可以对于</w:t>
      </w:r>
      <w:proofErr w:type="spellStart"/>
      <w:r w:rsidRPr="002C1FC8">
        <w:rPr>
          <w:rFonts w:ascii="宋体" w:eastAsia="宋体" w:hAnsi="宋体"/>
          <w:sz w:val="24"/>
          <w:szCs w:val="24"/>
        </w:rPr>
        <w:t>nCoV</w:t>
      </w:r>
      <w:proofErr w:type="spellEnd"/>
      <w:r w:rsidRPr="002C1FC8">
        <w:rPr>
          <w:rFonts w:ascii="宋体" w:eastAsia="宋体" w:hAnsi="宋体"/>
          <w:sz w:val="24"/>
          <w:szCs w:val="24"/>
        </w:rPr>
        <w:t>患者应用所需的IPC措施。</w:t>
      </w:r>
    </w:p>
    <w:p w14:paraId="108C89EF"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 xml:space="preserve"> </w:t>
      </w:r>
    </w:p>
    <w:p w14:paraId="7A9460E6"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X 避免断开患者与呼吸机的连接，否则会导致PEEP消失和肺不张。使用直插式导管进行</w:t>
      </w:r>
    </w:p>
    <w:p w14:paraId="295657E9"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气管抽吸并在需要断开连接时夹住气管导管（例如，转移至转运呼吸机）。</w:t>
      </w:r>
    </w:p>
    <w:p w14:paraId="70773EF6" w14:textId="77777777" w:rsidR="002C1FC8" w:rsidRPr="002C1FC8" w:rsidRDefault="002C1FC8" w:rsidP="002C1FC8">
      <w:pPr>
        <w:spacing w:line="360" w:lineRule="auto"/>
        <w:rPr>
          <w:rFonts w:ascii="宋体" w:eastAsia="宋体" w:hAnsi="宋体"/>
          <w:sz w:val="24"/>
          <w:szCs w:val="24"/>
        </w:rPr>
      </w:pPr>
    </w:p>
    <w:p w14:paraId="7B318CAF" w14:textId="68793826"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6</w:t>
      </w:r>
      <w:r>
        <w:rPr>
          <w:rFonts w:ascii="宋体" w:eastAsia="宋体" w:hAnsi="宋体" w:hint="eastAsia"/>
          <w:sz w:val="24"/>
          <w:szCs w:val="24"/>
        </w:rPr>
        <w:t xml:space="preserve"> </w:t>
      </w:r>
      <w:r w:rsidRPr="002C1FC8">
        <w:rPr>
          <w:rFonts w:ascii="宋体" w:eastAsia="宋体" w:hAnsi="宋体" w:hint="eastAsia"/>
          <w:sz w:val="24"/>
          <w:szCs w:val="24"/>
        </w:rPr>
        <w:t>脓毒性休克的管理</w:t>
      </w:r>
    </w:p>
    <w:p w14:paraId="36EF0106"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当怀疑或确诊感染并且需要升压药以维持平均动脉压MAP≥65mmHg并且乳酸≥2 mmol / L时，</w:t>
      </w:r>
      <w:proofErr w:type="gramStart"/>
      <w:r w:rsidRPr="002C1FC8">
        <w:rPr>
          <w:rFonts w:ascii="宋体" w:eastAsia="宋体" w:hAnsi="宋体"/>
          <w:sz w:val="24"/>
          <w:szCs w:val="24"/>
        </w:rPr>
        <w:t>除外低</w:t>
      </w:r>
      <w:proofErr w:type="gramEnd"/>
      <w:r w:rsidRPr="002C1FC8">
        <w:rPr>
          <w:rFonts w:ascii="宋体" w:eastAsia="宋体" w:hAnsi="宋体"/>
          <w:sz w:val="24"/>
          <w:szCs w:val="24"/>
        </w:rPr>
        <w:t>血容量，需要识别儿童的脓毒性休克（收缩压[SBP] &lt;同龄人第5个百分位数或低于正常水平2 SD），或出现以下2-3项：精神状态改变；心动过速或心动过缓（婴儿心率&lt;90 bpm或&gt; 160 bpm，儿童心率&lt;70bpm或&gt; 150 bpm）；延长毛细血管充盈时间（&gt; 2秒）或伴有洪脉的血管舒张; 呼吸急促; 皮肤花斑或皮疹或紫癜性皮疹；乳酸增加；少尿；体温过高或体温过低。</w:t>
      </w:r>
    </w:p>
    <w:p w14:paraId="0A0708F1"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备注：在没有乳酸测量的情况下，使用</w:t>
      </w:r>
      <w:r w:rsidRPr="002C1FC8">
        <w:rPr>
          <w:rFonts w:ascii="宋体" w:eastAsia="宋体" w:hAnsi="宋体"/>
          <w:sz w:val="24"/>
          <w:szCs w:val="24"/>
        </w:rPr>
        <w:t>MAP和灌注的临床体征来定义休克。标准诊治包括早期识别和识别后1小时内的以下治疗：抗微生物治疗，液体负荷以及升压药用于低血压休克。根据资源的可获得性和患者个体情况来使用中央静脉和动脉导管，目前有详细的指南可用于处理成人和儿童的脓毒性休克。</w:t>
      </w:r>
    </w:p>
    <w:p w14:paraId="4AEEBD26" w14:textId="77777777" w:rsidR="002C1FC8" w:rsidRPr="002C1FC8" w:rsidRDefault="002C1FC8" w:rsidP="002C1FC8">
      <w:pPr>
        <w:spacing w:line="360" w:lineRule="auto"/>
        <w:rPr>
          <w:rFonts w:ascii="宋体" w:eastAsia="宋体" w:hAnsi="宋体"/>
          <w:sz w:val="24"/>
          <w:szCs w:val="24"/>
        </w:rPr>
      </w:pPr>
    </w:p>
    <w:p w14:paraId="43DB2C1A"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在成年人</w:t>
      </w:r>
      <w:proofErr w:type="gramStart"/>
      <w:r w:rsidRPr="002C1FC8">
        <w:rPr>
          <w:rFonts w:ascii="宋体" w:eastAsia="宋体" w:hAnsi="宋体"/>
          <w:sz w:val="24"/>
          <w:szCs w:val="24"/>
        </w:rPr>
        <w:t>脓</w:t>
      </w:r>
      <w:proofErr w:type="gramEnd"/>
      <w:r w:rsidRPr="002C1FC8">
        <w:rPr>
          <w:rFonts w:ascii="宋体" w:eastAsia="宋体" w:hAnsi="宋体"/>
          <w:sz w:val="24"/>
          <w:szCs w:val="24"/>
        </w:rPr>
        <w:t>毒性休克中进行复苏时，应在前3小时内给成年人至少注入30 ml/kg等渗晶体。对儿童</w:t>
      </w:r>
      <w:proofErr w:type="gramStart"/>
      <w:r w:rsidRPr="002C1FC8">
        <w:rPr>
          <w:rFonts w:ascii="宋体" w:eastAsia="宋体" w:hAnsi="宋体"/>
          <w:sz w:val="24"/>
          <w:szCs w:val="24"/>
        </w:rPr>
        <w:t>脓</w:t>
      </w:r>
      <w:proofErr w:type="gramEnd"/>
      <w:r w:rsidRPr="002C1FC8">
        <w:rPr>
          <w:rFonts w:ascii="宋体" w:eastAsia="宋体" w:hAnsi="宋体"/>
          <w:sz w:val="24"/>
          <w:szCs w:val="24"/>
        </w:rPr>
        <w:t>毒性休克中进行液体复苏时，快速推注剂量为20 ml/ kg，在急救时剂量为40-60 ml / kg。</w:t>
      </w:r>
    </w:p>
    <w:p w14:paraId="4A37BE5B"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X   前1小时请勿使用低渗晶体，淀粉或明胶进行复苏。</w:t>
      </w:r>
    </w:p>
    <w:p w14:paraId="578E8BE3"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w:t>
      </w:r>
      <w:r w:rsidRPr="002C1FC8">
        <w:rPr>
          <w:rFonts w:ascii="宋体" w:eastAsia="宋体" w:hAnsi="宋体"/>
          <w:sz w:val="24"/>
          <w:szCs w:val="24"/>
        </w:rPr>
        <w:t xml:space="preserve"> 液体复苏可能导致容量超负荷，包括呼吸衰竭。如果对液体负荷无反应，且出现容量超负</w:t>
      </w:r>
      <w:r w:rsidRPr="002C1FC8">
        <w:rPr>
          <w:rFonts w:ascii="宋体" w:eastAsia="宋体" w:hAnsi="宋体"/>
          <w:sz w:val="24"/>
          <w:szCs w:val="24"/>
        </w:rPr>
        <w:lastRenderedPageBreak/>
        <w:t>荷的体征（例如，颈静脉扩张，听诊时有爆裂音，影像学提示肺水肿或出现儿童肝肿大），需要减少或中断输液。该步骤在机械通气</w:t>
      </w:r>
      <w:proofErr w:type="gramStart"/>
      <w:r w:rsidRPr="002C1FC8">
        <w:rPr>
          <w:rFonts w:ascii="宋体" w:eastAsia="宋体" w:hAnsi="宋体"/>
          <w:sz w:val="24"/>
          <w:szCs w:val="24"/>
        </w:rPr>
        <w:t>不</w:t>
      </w:r>
      <w:proofErr w:type="gramEnd"/>
      <w:r w:rsidRPr="002C1FC8">
        <w:rPr>
          <w:rFonts w:ascii="宋体" w:eastAsia="宋体" w:hAnsi="宋体"/>
          <w:sz w:val="24"/>
          <w:szCs w:val="24"/>
        </w:rPr>
        <w:t>可用的情况下尤其重要。当在资源有限的情况下，可以使用其他补液方案。</w:t>
      </w:r>
    </w:p>
    <w:p w14:paraId="129973B6"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备注：晶体包括生理盐水和林格氏乳酸盐。确定是否需要额外的液体推注（</w:t>
      </w:r>
      <w:r w:rsidRPr="002C1FC8">
        <w:rPr>
          <w:rFonts w:ascii="宋体" w:eastAsia="宋体" w:hAnsi="宋体"/>
          <w:sz w:val="24"/>
          <w:szCs w:val="24"/>
        </w:rPr>
        <w:t xml:space="preserve">250-1000 ml 成人或儿童10-20 ml / kg），取决于临床反应和改善灌注指标。灌注目标包括MAP（&gt; 65 mmHg或适合儿童年龄的目标），尿量（成人&gt; 0.5 ml / kg / </w:t>
      </w:r>
      <w:proofErr w:type="spellStart"/>
      <w:r w:rsidRPr="002C1FC8">
        <w:rPr>
          <w:rFonts w:ascii="宋体" w:eastAsia="宋体" w:hAnsi="宋体"/>
          <w:sz w:val="24"/>
          <w:szCs w:val="24"/>
        </w:rPr>
        <w:t>hr</w:t>
      </w:r>
      <w:proofErr w:type="spellEnd"/>
      <w:r w:rsidRPr="002C1FC8">
        <w:rPr>
          <w:rFonts w:ascii="宋体" w:eastAsia="宋体" w:hAnsi="宋体"/>
          <w:sz w:val="24"/>
          <w:szCs w:val="24"/>
        </w:rPr>
        <w:t xml:space="preserve">，儿童1 ml / kg / </w:t>
      </w:r>
      <w:proofErr w:type="spellStart"/>
      <w:r w:rsidRPr="002C1FC8">
        <w:rPr>
          <w:rFonts w:ascii="宋体" w:eastAsia="宋体" w:hAnsi="宋体"/>
          <w:sz w:val="24"/>
          <w:szCs w:val="24"/>
        </w:rPr>
        <w:t>hr</w:t>
      </w:r>
      <w:proofErr w:type="spellEnd"/>
      <w:r w:rsidRPr="002C1FC8">
        <w:rPr>
          <w:rFonts w:ascii="宋体" w:eastAsia="宋体" w:hAnsi="宋体"/>
          <w:sz w:val="24"/>
          <w:szCs w:val="24"/>
        </w:rPr>
        <w:t>）和皮肤花斑、毛细血管再充盈、意识水平和乳酸的改善。根据当地的资源情况和经验，在初步液体复苏后，考虑容量反应的动态指数来指导后续的液体输注。方法包括被动抬腿，连续搏动量测量，收缩压的动态变化，脉压和下腔静脉宽度</w:t>
      </w:r>
      <w:r w:rsidRPr="002C1FC8">
        <w:rPr>
          <w:rFonts w:ascii="宋体" w:eastAsia="宋体" w:hAnsi="宋体" w:hint="eastAsia"/>
          <w:sz w:val="24"/>
          <w:szCs w:val="24"/>
        </w:rPr>
        <w:t>，机械通气过程中胸腔内压力变化对容量的影响。与晶体相比，淀粉与死亡和急性肾损伤的风险增加有关。明胶的作用效果不详，且价格高于晶体液。低渗溶液（相对于等渗溶液）在增加血管内容量的方面效果较差。拯救脓毒</w:t>
      </w:r>
      <w:proofErr w:type="gramStart"/>
      <w:r w:rsidRPr="002C1FC8">
        <w:rPr>
          <w:rFonts w:ascii="宋体" w:eastAsia="宋体" w:hAnsi="宋体" w:hint="eastAsia"/>
          <w:sz w:val="24"/>
          <w:szCs w:val="24"/>
        </w:rPr>
        <w:t>症运动</w:t>
      </w:r>
      <w:proofErr w:type="gramEnd"/>
      <w:r w:rsidRPr="002C1FC8">
        <w:rPr>
          <w:rFonts w:ascii="宋体" w:eastAsia="宋体" w:hAnsi="宋体" w:hint="eastAsia"/>
          <w:sz w:val="24"/>
          <w:szCs w:val="24"/>
        </w:rPr>
        <w:t>建议如果患者需要大量晶体液时，可以考虑使用白蛋白进行液体复苏，但是基于低质量的证据的一定条件下的推荐。</w:t>
      </w:r>
    </w:p>
    <w:p w14:paraId="23F8C457" w14:textId="77777777" w:rsidR="002C1FC8" w:rsidRPr="002C1FC8" w:rsidRDefault="002C1FC8" w:rsidP="002C1FC8">
      <w:pPr>
        <w:spacing w:line="360" w:lineRule="auto"/>
        <w:rPr>
          <w:rFonts w:ascii="宋体" w:eastAsia="宋体" w:hAnsi="宋体"/>
          <w:sz w:val="24"/>
          <w:szCs w:val="24"/>
        </w:rPr>
      </w:pPr>
    </w:p>
    <w:p w14:paraId="1991126D"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在液体复苏后仍存在休克，应使用升压药。初始血压目标是MAP成人≥65 mmHg或适合儿童年龄的目标。</w:t>
      </w:r>
    </w:p>
    <w:p w14:paraId="6D7CAAC0"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！如果没条件放置中央静脉导管，可以通过外周静脉输注升压药，但要使用大静脉并紧密监测渗出和局部组织坏死的迹象。如果发生渗出，停止输液。血管加压剂也可以通过骨内针给药。</w:t>
      </w:r>
    </w:p>
    <w:p w14:paraId="62AF68B5"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！如果尽管通过补液和血管升压药达到了</w:t>
      </w:r>
      <w:r w:rsidRPr="002C1FC8">
        <w:rPr>
          <w:rFonts w:ascii="宋体" w:eastAsia="宋体" w:hAnsi="宋体"/>
          <w:sz w:val="24"/>
          <w:szCs w:val="24"/>
        </w:rPr>
        <w:t>MAP指标，但仍存在灌注不良和心脏功能障碍的迹象，考虑强心药物如多巴</w:t>
      </w:r>
      <w:proofErr w:type="gramStart"/>
      <w:r w:rsidRPr="002C1FC8">
        <w:rPr>
          <w:rFonts w:ascii="宋体" w:eastAsia="宋体" w:hAnsi="宋体"/>
          <w:sz w:val="24"/>
          <w:szCs w:val="24"/>
        </w:rPr>
        <w:t>酚</w:t>
      </w:r>
      <w:proofErr w:type="gramEnd"/>
      <w:r w:rsidRPr="002C1FC8">
        <w:rPr>
          <w:rFonts w:ascii="宋体" w:eastAsia="宋体" w:hAnsi="宋体"/>
          <w:sz w:val="24"/>
          <w:szCs w:val="24"/>
        </w:rPr>
        <w:t>丁胺。</w:t>
      </w:r>
    </w:p>
    <w:p w14:paraId="7E50C363"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备注：升压药（如去甲肾上腺素、肾上腺素、血管加压素和多巴胺）通过中心静脉和严格控速给药是最安全的，但也可以通过外周静脉和骨髓内安全使用。经常监测血压，并将升压药滴定至维持灌注和维持血压所需的最小剂量以防止副作用。去甲肾上腺素被认为是成年患者的一线药物；可以加用肾上腺素或血管加压素来达到</w:t>
      </w:r>
      <w:r w:rsidRPr="002C1FC8">
        <w:rPr>
          <w:rFonts w:ascii="宋体" w:eastAsia="宋体" w:hAnsi="宋体"/>
          <w:sz w:val="24"/>
          <w:szCs w:val="24"/>
        </w:rPr>
        <w:t>MAP目标。由于存在快速性心律失常的风险，选择在快速性心律失常低风险或者有心动过缓的患者中使用多巴胺。对于冷休克的儿童（较常见），肾上腺素被认为是一线药物，而去甲肾上腺素考虑用于热休克（较少见）的患者。</w:t>
      </w:r>
    </w:p>
    <w:p w14:paraId="7B64B2C9"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目前尚无</w:t>
      </w:r>
      <w:r w:rsidRPr="002C1FC8">
        <w:rPr>
          <w:rFonts w:ascii="宋体" w:eastAsia="宋体" w:hAnsi="宋体"/>
          <w:sz w:val="24"/>
          <w:szCs w:val="24"/>
        </w:rPr>
        <w:t>RCT将多巴</w:t>
      </w:r>
      <w:proofErr w:type="gramStart"/>
      <w:r w:rsidRPr="002C1FC8">
        <w:rPr>
          <w:rFonts w:ascii="宋体" w:eastAsia="宋体" w:hAnsi="宋体"/>
          <w:sz w:val="24"/>
          <w:szCs w:val="24"/>
        </w:rPr>
        <w:t>酚</w:t>
      </w:r>
      <w:proofErr w:type="gramEnd"/>
      <w:r w:rsidRPr="002C1FC8">
        <w:rPr>
          <w:rFonts w:ascii="宋体" w:eastAsia="宋体" w:hAnsi="宋体"/>
          <w:sz w:val="24"/>
          <w:szCs w:val="24"/>
        </w:rPr>
        <w:t>丁胺与安慰剂进行临床比较。</w:t>
      </w:r>
    </w:p>
    <w:p w14:paraId="612BB2BE" w14:textId="77777777" w:rsidR="002C1FC8" w:rsidRPr="002C1FC8" w:rsidRDefault="002C1FC8" w:rsidP="002C1FC8">
      <w:pPr>
        <w:spacing w:line="360" w:lineRule="auto"/>
        <w:rPr>
          <w:rFonts w:ascii="宋体" w:eastAsia="宋体" w:hAnsi="宋体"/>
          <w:sz w:val="24"/>
          <w:szCs w:val="24"/>
        </w:rPr>
      </w:pPr>
    </w:p>
    <w:p w14:paraId="78CA684C" w14:textId="048C631E"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7</w:t>
      </w:r>
      <w:r>
        <w:rPr>
          <w:rFonts w:ascii="宋体" w:eastAsia="宋体" w:hAnsi="宋体" w:hint="eastAsia"/>
          <w:sz w:val="24"/>
          <w:szCs w:val="24"/>
        </w:rPr>
        <w:t xml:space="preserve"> </w:t>
      </w:r>
      <w:r w:rsidRPr="002C1FC8">
        <w:rPr>
          <w:rFonts w:ascii="宋体" w:eastAsia="宋体" w:hAnsi="宋体" w:hint="eastAsia"/>
          <w:sz w:val="24"/>
          <w:szCs w:val="24"/>
        </w:rPr>
        <w:t>并发症的预防</w:t>
      </w:r>
    </w:p>
    <w:p w14:paraId="08101EC7"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lastRenderedPageBreak/>
        <w:t>应用下列干预措施（表</w:t>
      </w:r>
      <w:r w:rsidRPr="002C1FC8">
        <w:rPr>
          <w:rFonts w:ascii="宋体" w:eastAsia="宋体" w:hAnsi="宋体"/>
          <w:sz w:val="24"/>
          <w:szCs w:val="24"/>
        </w:rPr>
        <w:t>3）以预防重症相关的并发症。这些干预措施是基于脓毒症指南或其他有高质量证据等级指南的可行建议。</w:t>
      </w:r>
    </w:p>
    <w:p w14:paraId="6D7972CF"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表</w:t>
      </w:r>
      <w:r w:rsidRPr="002C1FC8">
        <w:rPr>
          <w:rFonts w:ascii="宋体" w:eastAsia="宋体" w:hAnsi="宋体"/>
          <w:sz w:val="24"/>
          <w:szCs w:val="24"/>
        </w:rPr>
        <w:t>3：预防并发症</w:t>
      </w:r>
    </w:p>
    <w:p w14:paraId="67366A14" w14:textId="4CE8A00C"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drawing>
          <wp:inline distT="0" distB="0" distL="0" distR="0" wp14:anchorId="1350C826" wp14:editId="393A82EE">
            <wp:extent cx="5274310" cy="36772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677285"/>
                    </a:xfrm>
                    <a:prstGeom prst="rect">
                      <a:avLst/>
                    </a:prstGeom>
                  </pic:spPr>
                </pic:pic>
              </a:graphicData>
            </a:graphic>
          </wp:inline>
        </w:drawing>
      </w:r>
    </w:p>
    <w:p w14:paraId="2D907D46" w14:textId="77777777" w:rsidR="002C1FC8" w:rsidRPr="002C1FC8" w:rsidRDefault="002C1FC8" w:rsidP="002C1FC8">
      <w:pPr>
        <w:spacing w:line="360" w:lineRule="auto"/>
        <w:rPr>
          <w:rFonts w:ascii="宋体" w:eastAsia="宋体" w:hAnsi="宋体"/>
          <w:sz w:val="24"/>
          <w:szCs w:val="24"/>
        </w:rPr>
      </w:pPr>
    </w:p>
    <w:p w14:paraId="1B22B183" w14:textId="77777777" w:rsidR="002C1FC8" w:rsidRPr="002C1FC8" w:rsidRDefault="002C1FC8" w:rsidP="002C1FC8">
      <w:pPr>
        <w:spacing w:line="360" w:lineRule="auto"/>
        <w:rPr>
          <w:rFonts w:ascii="宋体" w:eastAsia="宋体" w:hAnsi="宋体"/>
          <w:sz w:val="24"/>
          <w:szCs w:val="24"/>
        </w:rPr>
      </w:pPr>
    </w:p>
    <w:p w14:paraId="3C5BF797" w14:textId="739D9D94"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8</w:t>
      </w:r>
      <w:r>
        <w:rPr>
          <w:rFonts w:ascii="宋体" w:eastAsia="宋体" w:hAnsi="宋体" w:hint="eastAsia"/>
          <w:sz w:val="24"/>
          <w:szCs w:val="24"/>
        </w:rPr>
        <w:t xml:space="preserve"> </w:t>
      </w:r>
      <w:r>
        <w:rPr>
          <w:rFonts w:ascii="宋体" w:eastAsia="宋体" w:hAnsi="宋体"/>
          <w:sz w:val="24"/>
          <w:szCs w:val="24"/>
        </w:rPr>
        <w:t xml:space="preserve"> </w:t>
      </w:r>
      <w:r w:rsidRPr="002C1FC8">
        <w:rPr>
          <w:rFonts w:ascii="宋体" w:eastAsia="宋体" w:hAnsi="宋体" w:hint="eastAsia"/>
          <w:sz w:val="24"/>
          <w:szCs w:val="24"/>
        </w:rPr>
        <w:t>特异性的抗新型冠状病毒（抗</w:t>
      </w:r>
      <w:proofErr w:type="spellStart"/>
      <w:r w:rsidRPr="002C1FC8">
        <w:rPr>
          <w:rFonts w:ascii="宋体" w:eastAsia="宋体" w:hAnsi="宋体"/>
          <w:sz w:val="24"/>
          <w:szCs w:val="24"/>
        </w:rPr>
        <w:t>nCOV</w:t>
      </w:r>
      <w:proofErr w:type="spellEnd"/>
      <w:r w:rsidRPr="002C1FC8">
        <w:rPr>
          <w:rFonts w:ascii="宋体" w:eastAsia="宋体" w:hAnsi="宋体"/>
          <w:sz w:val="24"/>
          <w:szCs w:val="24"/>
        </w:rPr>
        <w:t xml:space="preserve">）治疗 </w:t>
      </w:r>
    </w:p>
    <w:p w14:paraId="2F362D01"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！目前没有来自</w:t>
      </w:r>
      <w:r w:rsidRPr="002C1FC8">
        <w:rPr>
          <w:rFonts w:ascii="宋体" w:eastAsia="宋体" w:hAnsi="宋体"/>
          <w:sz w:val="24"/>
          <w:szCs w:val="24"/>
        </w:rPr>
        <w:t>RCT研究的证据支持特异的抗新型冠状病毒治疗疑似或确诊病例。</w:t>
      </w:r>
    </w:p>
    <w:p w14:paraId="4C694E56"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未获批的治疗方案仅能在伦理委员会批准的临床研究或Monitored Emergency Use of Unregistered Interventions Framework （MEURI）中可采用，且需要进行严密的监测。</w:t>
      </w:r>
    </w:p>
    <w:p w14:paraId="7EEF2450"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https://www.who.int/ethics/publications/infectious-disease-outbreaks/en/</w:t>
      </w:r>
    </w:p>
    <w:p w14:paraId="3751008F"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临床手册可以在下面获得，SPRINT-SARI https://isaric.tghn.org/sprint-sari/ 和WHO-ISARIC版本https://isaric.tghn.org/protocols/severe-acute-respiratory-infection-data-tools/. 关于其他问题联系oubreak@who.int </w:t>
      </w:r>
    </w:p>
    <w:p w14:paraId="398F2C37" w14:textId="77777777" w:rsidR="002C1FC8" w:rsidRPr="002C1FC8" w:rsidRDefault="002C1FC8" w:rsidP="002C1FC8">
      <w:pPr>
        <w:spacing w:line="360" w:lineRule="auto"/>
        <w:rPr>
          <w:rFonts w:ascii="宋体" w:eastAsia="宋体" w:hAnsi="宋体"/>
          <w:sz w:val="24"/>
          <w:szCs w:val="24"/>
        </w:rPr>
      </w:pPr>
    </w:p>
    <w:p w14:paraId="4BD1D4B6" w14:textId="75D7DF45" w:rsidR="002C1FC8"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9</w:t>
      </w:r>
      <w:r>
        <w:rPr>
          <w:rFonts w:ascii="宋体" w:eastAsia="宋体" w:hAnsi="宋体" w:hint="eastAsia"/>
          <w:sz w:val="24"/>
          <w:szCs w:val="24"/>
        </w:rPr>
        <w:t xml:space="preserve"> </w:t>
      </w:r>
      <w:r w:rsidRPr="002C1FC8">
        <w:rPr>
          <w:rFonts w:ascii="宋体" w:eastAsia="宋体" w:hAnsi="宋体" w:hint="eastAsia"/>
          <w:sz w:val="24"/>
          <w:szCs w:val="24"/>
        </w:rPr>
        <w:t>妊娠患者的特别注意事项</w:t>
      </w:r>
    </w:p>
    <w:p w14:paraId="4BDA27ED"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对于疑似或确诊新型冠状病毒的孕妇需要按上述推荐方案治疗，同时兼顾考虑妊娠的生</w:t>
      </w:r>
      <w:r w:rsidRPr="002C1FC8">
        <w:rPr>
          <w:rFonts w:ascii="宋体" w:eastAsia="宋体" w:hAnsi="宋体"/>
          <w:sz w:val="24"/>
          <w:szCs w:val="24"/>
        </w:rPr>
        <w:lastRenderedPageBreak/>
        <w:t>理性因素。</w:t>
      </w:r>
    </w:p>
    <w:p w14:paraId="0B3A98D3"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在使用探索性治疗方案时，需按个体利弊分析，基于母亲潜在的获益和胎儿的安全性，并咨询产科专家和伦理委员会</w:t>
      </w:r>
    </w:p>
    <w:p w14:paraId="62059571" w14:textId="77777777" w:rsidR="002C1FC8" w:rsidRPr="002C1FC8" w:rsidRDefault="002C1FC8" w:rsidP="002C1FC8">
      <w:pPr>
        <w:spacing w:line="360" w:lineRule="auto"/>
        <w:rPr>
          <w:rFonts w:ascii="宋体" w:eastAsia="宋体" w:hAnsi="宋体"/>
          <w:sz w:val="24"/>
          <w:szCs w:val="24"/>
        </w:rPr>
      </w:pPr>
      <w:r w:rsidRPr="002C1FC8">
        <w:rPr>
          <w:rFonts w:ascii="Segoe UI Emoji" w:eastAsia="宋体" w:hAnsi="Segoe UI Emoji" w:cs="Segoe UI Emoji"/>
          <w:sz w:val="24"/>
          <w:szCs w:val="24"/>
        </w:rPr>
        <w:t>✔</w:t>
      </w:r>
      <w:r w:rsidRPr="002C1FC8">
        <w:rPr>
          <w:rFonts w:ascii="宋体" w:eastAsia="宋体" w:hAnsi="宋体"/>
          <w:sz w:val="24"/>
          <w:szCs w:val="24"/>
        </w:rPr>
        <w:t xml:space="preserve">  紧急分娩和终止妊娠的决定基于多个因素：孕龄、母亲的状况、胎儿的稳定性。必须咨询产科、新生儿科和ICU的专家（视母亲情况）。</w:t>
      </w:r>
    </w:p>
    <w:p w14:paraId="224FD347" w14:textId="77777777" w:rsidR="002C1FC8" w:rsidRPr="002C1FC8" w:rsidRDefault="002C1FC8" w:rsidP="002C1FC8">
      <w:pPr>
        <w:spacing w:line="360" w:lineRule="auto"/>
        <w:rPr>
          <w:rFonts w:ascii="宋体" w:eastAsia="宋体" w:hAnsi="宋体" w:hint="eastAsia"/>
          <w:sz w:val="24"/>
          <w:szCs w:val="24"/>
        </w:rPr>
      </w:pPr>
      <w:bookmarkStart w:id="0" w:name="_GoBack"/>
      <w:bookmarkEnd w:id="0"/>
    </w:p>
    <w:p w14:paraId="6B6904DC" w14:textId="77777777" w:rsidR="002C1FC8" w:rsidRPr="002C1FC8" w:rsidRDefault="002C1FC8" w:rsidP="002C1FC8">
      <w:pPr>
        <w:spacing w:line="360" w:lineRule="auto"/>
        <w:rPr>
          <w:rFonts w:ascii="宋体" w:eastAsia="宋体" w:hAnsi="宋体"/>
          <w:sz w:val="24"/>
          <w:szCs w:val="24"/>
        </w:rPr>
      </w:pPr>
      <w:r w:rsidRPr="002C1FC8">
        <w:rPr>
          <w:rFonts w:ascii="宋体" w:eastAsia="宋体" w:hAnsi="宋体" w:hint="eastAsia"/>
          <w:sz w:val="24"/>
          <w:szCs w:val="24"/>
        </w:rPr>
        <w:t>参考文献：</w:t>
      </w:r>
    </w:p>
    <w:p w14:paraId="73FC81D8" w14:textId="36EC635C" w:rsidR="000F051D" w:rsidRPr="002C1FC8" w:rsidRDefault="002C1FC8" w:rsidP="002C1FC8">
      <w:pPr>
        <w:spacing w:line="360" w:lineRule="auto"/>
        <w:rPr>
          <w:rFonts w:ascii="宋体" w:eastAsia="宋体" w:hAnsi="宋体"/>
          <w:sz w:val="24"/>
          <w:szCs w:val="24"/>
        </w:rPr>
      </w:pPr>
      <w:r w:rsidRPr="002C1FC8">
        <w:rPr>
          <w:rFonts w:ascii="宋体" w:eastAsia="宋体" w:hAnsi="宋体"/>
          <w:sz w:val="24"/>
          <w:szCs w:val="24"/>
        </w:rPr>
        <w:t>[</w:t>
      </w:r>
      <w:proofErr w:type="gramStart"/>
      <w:r w:rsidRPr="002C1FC8">
        <w:rPr>
          <w:rFonts w:ascii="宋体" w:eastAsia="宋体" w:hAnsi="宋体"/>
          <w:sz w:val="24"/>
          <w:szCs w:val="24"/>
        </w:rPr>
        <w:t>1]World</w:t>
      </w:r>
      <w:proofErr w:type="gramEnd"/>
      <w:r w:rsidRPr="002C1FC8">
        <w:rPr>
          <w:rFonts w:ascii="宋体" w:eastAsia="宋体" w:hAnsi="宋体"/>
          <w:sz w:val="24"/>
          <w:szCs w:val="24"/>
        </w:rPr>
        <w:t xml:space="preserve"> Health Organization: Clinical management of severe acute respiratory infection when Novel coronavirus (</w:t>
      </w:r>
      <w:proofErr w:type="spellStart"/>
      <w:r w:rsidRPr="002C1FC8">
        <w:rPr>
          <w:rFonts w:ascii="宋体" w:eastAsia="宋体" w:hAnsi="宋体"/>
          <w:sz w:val="24"/>
          <w:szCs w:val="24"/>
        </w:rPr>
        <w:t>nCoV</w:t>
      </w:r>
      <w:proofErr w:type="spellEnd"/>
      <w:r w:rsidRPr="002C1FC8">
        <w:rPr>
          <w:rFonts w:ascii="宋体" w:eastAsia="宋体" w:hAnsi="宋体"/>
          <w:sz w:val="24"/>
          <w:szCs w:val="24"/>
        </w:rPr>
        <w:t>) infection is suspected: Interim Guidance.</w:t>
      </w:r>
    </w:p>
    <w:sectPr w:rsidR="000F051D" w:rsidRPr="002C1FC8" w:rsidSect="002C1FC8">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FC8"/>
    <w:rsid w:val="000F051D"/>
    <w:rsid w:val="002C1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8A8DA"/>
  <w15:chartTrackingRefBased/>
  <w15:docId w15:val="{E0282E95-8AE7-428D-8837-E9BBE7090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1246</Words>
  <Characters>7104</Characters>
  <Application>Microsoft Office Word</Application>
  <DocSecurity>0</DocSecurity>
  <Lines>59</Lines>
  <Paragraphs>16</Paragraphs>
  <ScaleCrop>false</ScaleCrop>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TECHNICAL-SUPPORT TEAM</dc:creator>
  <cp:keywords/>
  <dc:description/>
  <cp:lastModifiedBy>TECHNICAL-SUPPORT TEAM</cp:lastModifiedBy>
  <cp:revision>1</cp:revision>
  <dcterms:created xsi:type="dcterms:W3CDTF">2020-01-21T07:40:00Z</dcterms:created>
  <dcterms:modified xsi:type="dcterms:W3CDTF">2020-01-21T07:49:00Z</dcterms:modified>
</cp:coreProperties>
</file>